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01771C3F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2322EA">
        <w:rPr>
          <w:rFonts w:ascii="Arial" w:hAnsi="Arial" w:cs="Arial"/>
          <w:b/>
          <w:szCs w:val="28"/>
          <w:lang w:val="en-US"/>
        </w:rPr>
        <w:t>2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D83109" w:rsidRPr="00D83109">
        <w:rPr>
          <w:rFonts w:ascii="Arial" w:hAnsi="Arial" w:cs="Arial"/>
          <w:b/>
          <w:szCs w:val="28"/>
          <w:lang w:val="en-US"/>
        </w:rPr>
        <w:t>R4-2</w:t>
      </w:r>
      <w:r w:rsidR="00522D42">
        <w:rPr>
          <w:rFonts w:ascii="Arial" w:hAnsi="Arial" w:cs="Arial"/>
          <w:b/>
          <w:szCs w:val="28"/>
          <w:lang w:val="en-US"/>
        </w:rPr>
        <w:t>20</w:t>
      </w:r>
      <w:r w:rsidR="00914CD5">
        <w:rPr>
          <w:rFonts w:ascii="Arial" w:hAnsi="Arial" w:cs="Arial"/>
          <w:b/>
          <w:szCs w:val="28"/>
          <w:lang w:val="en-US"/>
        </w:rPr>
        <w:t>6029</w:t>
      </w:r>
    </w:p>
    <w:p w14:paraId="60407F1B" w14:textId="4A2FFEE4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2322EA">
        <w:rPr>
          <w:rFonts w:ascii="Arial" w:hAnsi="Arial" w:cs="Arial"/>
          <w:b/>
          <w:szCs w:val="28"/>
          <w:lang w:val="en-US"/>
        </w:rPr>
        <w:t>February 21-March 03</w:t>
      </w:r>
      <w:r w:rsidR="00A8488B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25590F8B" w14:textId="6D5B83FA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2322EA">
        <w:rPr>
          <w:rFonts w:ascii="Arial" w:hAnsi="Arial" w:cs="Arial"/>
          <w:bCs/>
          <w:sz w:val="22"/>
          <w:szCs w:val="22"/>
          <w:lang w:val="en-US"/>
        </w:rPr>
        <w:t>10</w:t>
      </w:r>
      <w:r w:rsidR="000266FE">
        <w:rPr>
          <w:rFonts w:ascii="Arial" w:hAnsi="Arial" w:cs="Arial"/>
          <w:bCs/>
          <w:sz w:val="22"/>
          <w:szCs w:val="22"/>
          <w:lang w:val="en-US"/>
        </w:rPr>
        <w:t>.17.3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78151AE5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522D42">
        <w:rPr>
          <w:rFonts w:ascii="Arial" w:hAnsi="Arial" w:cs="Arial"/>
          <w:sz w:val="22"/>
          <w:szCs w:val="22"/>
          <w:lang w:val="en-US"/>
        </w:rPr>
        <w:t>Further a</w:t>
      </w:r>
      <w:r w:rsidR="00954B96" w:rsidRPr="00D83109">
        <w:rPr>
          <w:rFonts w:ascii="Arial" w:hAnsi="Arial" w:cs="Arial"/>
          <w:sz w:val="22"/>
          <w:szCs w:val="22"/>
          <w:lang w:val="en-US"/>
        </w:rPr>
        <w:t>nalysis of RRM requirements for enhanced IAB</w:t>
      </w:r>
    </w:p>
    <w:p w14:paraId="37EAE97F" w14:textId="3778AEC4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2381305" w14:textId="11FFBFD7" w:rsidR="005C076B" w:rsidRDefault="00791C6F" w:rsidP="00BB0A7A">
      <w:pPr>
        <w:spacing w:before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</w:t>
      </w:r>
      <w:r w:rsidR="00A84D49">
        <w:rPr>
          <w:sz w:val="22"/>
          <w:szCs w:val="22"/>
          <w:lang w:val="en-US"/>
        </w:rPr>
        <w:t xml:space="preserve">RAN4 </w:t>
      </w:r>
      <w:r>
        <w:rPr>
          <w:sz w:val="22"/>
          <w:szCs w:val="22"/>
          <w:lang w:val="en-US"/>
        </w:rPr>
        <w:t>meeting a WF on RRM requirements for IAB enhancement was approved</w:t>
      </w:r>
      <w:r w:rsidR="00A84D49">
        <w:rPr>
          <w:sz w:val="22"/>
          <w:szCs w:val="22"/>
          <w:lang w:val="en-US"/>
        </w:rPr>
        <w:t xml:space="preserve"> [1]. </w:t>
      </w:r>
    </w:p>
    <w:p w14:paraId="4BC9507D" w14:textId="436B0B8F" w:rsidR="007639E1" w:rsidRPr="003860F6" w:rsidRDefault="000E4C15" w:rsidP="00BB0A7A">
      <w:pPr>
        <w:spacing w:before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 is only one open issue related to </w:t>
      </w:r>
      <w:r w:rsidR="007C7594">
        <w:rPr>
          <w:sz w:val="22"/>
          <w:szCs w:val="22"/>
          <w:lang w:val="en-US"/>
        </w:rPr>
        <w:t>cross layer interference (</w:t>
      </w:r>
      <w:r>
        <w:rPr>
          <w:sz w:val="22"/>
          <w:szCs w:val="22"/>
          <w:lang w:val="en-US"/>
        </w:rPr>
        <w:t>CLI</w:t>
      </w:r>
      <w:r w:rsidR="007C7594">
        <w:rPr>
          <w:sz w:val="22"/>
          <w:szCs w:val="22"/>
          <w:lang w:val="en-US"/>
        </w:rPr>
        <w:t>)</w:t>
      </w:r>
      <w:r w:rsidR="00903EFD">
        <w:rPr>
          <w:sz w:val="22"/>
          <w:szCs w:val="22"/>
          <w:lang w:val="en-US"/>
        </w:rPr>
        <w:t xml:space="preserve"> related requirements</w:t>
      </w:r>
      <w:r>
        <w:rPr>
          <w:sz w:val="22"/>
          <w:szCs w:val="22"/>
          <w:lang w:val="en-US"/>
        </w:rPr>
        <w:t xml:space="preserve">. </w:t>
      </w:r>
      <w:r w:rsidR="0065006A">
        <w:rPr>
          <w:sz w:val="22"/>
          <w:szCs w:val="22"/>
          <w:lang w:val="en-US"/>
        </w:rPr>
        <w:t xml:space="preserve">In this paper we </w:t>
      </w:r>
      <w:r w:rsidR="002673F6">
        <w:rPr>
          <w:sz w:val="22"/>
          <w:szCs w:val="22"/>
          <w:lang w:val="en-US"/>
        </w:rPr>
        <w:t xml:space="preserve">further </w:t>
      </w:r>
      <w:r w:rsidR="0065006A">
        <w:rPr>
          <w:sz w:val="22"/>
          <w:szCs w:val="22"/>
          <w:lang w:val="en-US"/>
        </w:rPr>
        <w:t xml:space="preserve">analyze </w:t>
      </w:r>
      <w:r w:rsidR="00183017">
        <w:rPr>
          <w:sz w:val="22"/>
          <w:szCs w:val="22"/>
          <w:lang w:val="en-US"/>
        </w:rPr>
        <w:t xml:space="preserve">the </w:t>
      </w:r>
      <w:r>
        <w:rPr>
          <w:sz w:val="22"/>
          <w:szCs w:val="22"/>
          <w:lang w:val="en-US"/>
        </w:rPr>
        <w:t xml:space="preserve">need for CLI requirements </w:t>
      </w:r>
      <w:r w:rsidR="002673F6">
        <w:rPr>
          <w:sz w:val="22"/>
          <w:szCs w:val="22"/>
          <w:lang w:val="en-US"/>
        </w:rPr>
        <w:t>for IAB</w:t>
      </w:r>
      <w:r w:rsidR="00183017">
        <w:rPr>
          <w:sz w:val="22"/>
          <w:szCs w:val="22"/>
          <w:lang w:val="en-US"/>
        </w:rPr>
        <w:t xml:space="preserve">. </w:t>
      </w:r>
    </w:p>
    <w:p w14:paraId="4FD27D7A" w14:textId="19A61E34" w:rsidR="00ED4F29" w:rsidRPr="00082522" w:rsidRDefault="00ED4F29" w:rsidP="00082522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Impact of CLI for IAB</w:t>
      </w:r>
    </w:p>
    <w:p w14:paraId="0CFFB58A" w14:textId="61C537EA" w:rsidR="006C7779" w:rsidRDefault="00082522" w:rsidP="00082522">
      <w:pPr>
        <w:spacing w:before="240"/>
        <w:rPr>
          <w:sz w:val="22"/>
          <w:szCs w:val="22"/>
          <w:lang w:val="en-US"/>
        </w:rPr>
      </w:pPr>
      <w:r w:rsidRPr="00186011">
        <w:rPr>
          <w:sz w:val="22"/>
          <w:szCs w:val="22"/>
          <w:lang w:val="en-US"/>
        </w:rPr>
        <w:t xml:space="preserve">The following related to </w:t>
      </w:r>
      <w:r>
        <w:rPr>
          <w:sz w:val="22"/>
          <w:szCs w:val="22"/>
          <w:lang w:val="en-US"/>
        </w:rPr>
        <w:t>CLI for IAB</w:t>
      </w:r>
      <w:r w:rsidRPr="00186011">
        <w:rPr>
          <w:sz w:val="22"/>
          <w:szCs w:val="22"/>
          <w:lang w:val="en-US"/>
        </w:rPr>
        <w:t xml:space="preserve"> was agreed in the last RAN4 WF [1]:</w:t>
      </w:r>
    </w:p>
    <w:p w14:paraId="23C453EA" w14:textId="77777777" w:rsidR="002673F6" w:rsidRPr="002673F6" w:rsidRDefault="002673F6" w:rsidP="002673F6">
      <w:pPr>
        <w:pBdr>
          <w:top w:val="single" w:sz="4" w:space="1" w:color="auto"/>
        </w:pBdr>
        <w:spacing w:before="240"/>
        <w:rPr>
          <w:i/>
          <w:iCs/>
          <w:sz w:val="22"/>
          <w:szCs w:val="22"/>
          <w:lang w:val="en-US"/>
        </w:rPr>
      </w:pPr>
      <w:r w:rsidRPr="002673F6">
        <w:rPr>
          <w:i/>
          <w:iCs/>
          <w:sz w:val="22"/>
          <w:szCs w:val="22"/>
          <w:lang w:val="en-US"/>
        </w:rPr>
        <w:t>Option 1: For CLI measurements by IAB-MT, no new RRM requirements need to be specified in R17.</w:t>
      </w:r>
    </w:p>
    <w:p w14:paraId="65FF0803" w14:textId="3DD3FD9E" w:rsidR="002673F6" w:rsidRPr="002673F6" w:rsidRDefault="002673F6" w:rsidP="002673F6">
      <w:pPr>
        <w:pBdr>
          <w:bottom w:val="single" w:sz="4" w:space="1" w:color="auto"/>
        </w:pBdr>
        <w:spacing w:before="240"/>
        <w:rPr>
          <w:i/>
          <w:iCs/>
          <w:sz w:val="22"/>
          <w:szCs w:val="22"/>
          <w:lang w:val="en-US"/>
        </w:rPr>
      </w:pPr>
      <w:r w:rsidRPr="002673F6">
        <w:rPr>
          <w:i/>
          <w:iCs/>
          <w:sz w:val="22"/>
          <w:szCs w:val="22"/>
          <w:lang w:val="en-US"/>
        </w:rPr>
        <w:t xml:space="preserve">Option 2: all Rel 16 UE CLI measurement performance requirement shall be adopted for Rel 17 </w:t>
      </w:r>
      <w:proofErr w:type="spellStart"/>
      <w:r w:rsidRPr="002673F6">
        <w:rPr>
          <w:i/>
          <w:iCs/>
          <w:sz w:val="22"/>
          <w:szCs w:val="22"/>
          <w:lang w:val="en-US"/>
        </w:rPr>
        <w:t>eIAB</w:t>
      </w:r>
      <w:proofErr w:type="spellEnd"/>
      <w:r w:rsidRPr="002673F6">
        <w:rPr>
          <w:i/>
          <w:iCs/>
          <w:sz w:val="22"/>
          <w:szCs w:val="22"/>
          <w:lang w:val="en-US"/>
        </w:rPr>
        <w:t xml:space="preserve"> RRM.</w:t>
      </w:r>
    </w:p>
    <w:p w14:paraId="41FBD765" w14:textId="08E494DB" w:rsidR="002673F6" w:rsidRDefault="002673F6" w:rsidP="00082522">
      <w:pPr>
        <w:spacing w:before="24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RAN2/RAN3 signaling and procedure to support CLI </w:t>
      </w:r>
      <w:r w:rsidR="00F827A6">
        <w:rPr>
          <w:sz w:val="22"/>
          <w:szCs w:val="22"/>
          <w:lang w:val="en-US"/>
        </w:rPr>
        <w:t xml:space="preserve">based on </w:t>
      </w:r>
      <w:r w:rsidR="00F827A6">
        <w:rPr>
          <w:bCs/>
          <w:sz w:val="22"/>
          <w:szCs w:val="22"/>
          <w:lang w:val="en-US" w:eastAsia="zh-CN"/>
        </w:rPr>
        <w:t>existing Rel-16 CLI solutions for UE</w:t>
      </w:r>
      <w:r w:rsidR="00FB1B1E">
        <w:rPr>
          <w:bCs/>
          <w:sz w:val="22"/>
          <w:szCs w:val="22"/>
          <w:lang w:val="en-US" w:eastAsia="zh-CN"/>
        </w:rPr>
        <w:t xml:space="preserve"> are specified </w:t>
      </w:r>
      <w:r w:rsidR="00FB1B1E">
        <w:rPr>
          <w:sz w:val="22"/>
          <w:szCs w:val="22"/>
          <w:lang w:val="en-US"/>
        </w:rPr>
        <w:t xml:space="preserve">for IAB-MT. </w:t>
      </w:r>
      <w:r w:rsidR="00233DC7">
        <w:rPr>
          <w:sz w:val="22"/>
          <w:szCs w:val="22"/>
          <w:lang w:val="en-US"/>
        </w:rPr>
        <w:t xml:space="preserve">The motivation is to support interference management for </w:t>
      </w:r>
      <w:r w:rsidR="00A86857">
        <w:rPr>
          <w:sz w:val="22"/>
          <w:szCs w:val="22"/>
          <w:lang w:val="en-US"/>
        </w:rPr>
        <w:t xml:space="preserve">IAB supporting simultaneous </w:t>
      </w:r>
      <w:r w:rsidR="00E15359">
        <w:rPr>
          <w:sz w:val="22"/>
          <w:szCs w:val="22"/>
          <w:lang w:val="en-US"/>
        </w:rPr>
        <w:t>operation between</w:t>
      </w:r>
      <w:r w:rsidR="00A86857">
        <w:rPr>
          <w:sz w:val="22"/>
          <w:szCs w:val="22"/>
          <w:lang w:val="en-US"/>
        </w:rPr>
        <w:t xml:space="preserve"> IAB-MT </w:t>
      </w:r>
      <w:r w:rsidR="00E15359">
        <w:rPr>
          <w:sz w:val="22"/>
          <w:szCs w:val="22"/>
          <w:lang w:val="en-US"/>
        </w:rPr>
        <w:t xml:space="preserve">TX </w:t>
      </w:r>
      <w:r w:rsidR="00A86857">
        <w:rPr>
          <w:sz w:val="22"/>
          <w:szCs w:val="22"/>
          <w:lang w:val="en-US"/>
        </w:rPr>
        <w:t xml:space="preserve">and IAB-DU </w:t>
      </w:r>
      <w:r w:rsidR="00E15359">
        <w:rPr>
          <w:sz w:val="22"/>
          <w:szCs w:val="22"/>
          <w:lang w:val="en-US"/>
        </w:rPr>
        <w:t xml:space="preserve">RX </w:t>
      </w:r>
      <w:r w:rsidR="00A86857">
        <w:rPr>
          <w:sz w:val="22"/>
          <w:szCs w:val="22"/>
          <w:lang w:val="en-US"/>
        </w:rPr>
        <w:t xml:space="preserve">or simultaneous </w:t>
      </w:r>
      <w:r w:rsidR="00E15359">
        <w:rPr>
          <w:sz w:val="22"/>
          <w:szCs w:val="22"/>
          <w:lang w:val="en-US"/>
        </w:rPr>
        <w:t xml:space="preserve">operation between </w:t>
      </w:r>
      <w:r w:rsidR="00A86857">
        <w:rPr>
          <w:sz w:val="22"/>
          <w:szCs w:val="22"/>
          <w:lang w:val="en-US"/>
        </w:rPr>
        <w:t>IAB-MT</w:t>
      </w:r>
      <w:r w:rsidR="00E15359">
        <w:rPr>
          <w:sz w:val="22"/>
          <w:szCs w:val="22"/>
          <w:lang w:val="en-US"/>
        </w:rPr>
        <w:t xml:space="preserve"> RX </w:t>
      </w:r>
      <w:r w:rsidR="00A86857">
        <w:rPr>
          <w:sz w:val="22"/>
          <w:szCs w:val="22"/>
          <w:lang w:val="en-US"/>
        </w:rPr>
        <w:t>and IAB-DU</w:t>
      </w:r>
      <w:r w:rsidR="00E15359">
        <w:rPr>
          <w:sz w:val="22"/>
          <w:szCs w:val="22"/>
          <w:lang w:val="en-US"/>
        </w:rPr>
        <w:t xml:space="preserve"> TX</w:t>
      </w:r>
      <w:r w:rsidR="00A86857">
        <w:rPr>
          <w:sz w:val="22"/>
          <w:szCs w:val="22"/>
          <w:lang w:val="en-US"/>
        </w:rPr>
        <w:t xml:space="preserve">. </w:t>
      </w:r>
    </w:p>
    <w:p w14:paraId="47AD7D9F" w14:textId="7A362CF2" w:rsidR="00924E5E" w:rsidRDefault="00F827A6" w:rsidP="003038F6">
      <w:pPr>
        <w:spacing w:before="240"/>
        <w:rPr>
          <w:bCs/>
          <w:sz w:val="22"/>
          <w:szCs w:val="22"/>
          <w:lang w:val="en-US" w:eastAsia="zh-CN"/>
        </w:rPr>
      </w:pPr>
      <w:r>
        <w:rPr>
          <w:bCs/>
          <w:sz w:val="22"/>
          <w:szCs w:val="22"/>
          <w:lang w:val="en-US" w:eastAsia="zh-CN"/>
        </w:rPr>
        <w:t xml:space="preserve">RAN4 has defined RRM requirements for UE CLI measurements (SRS-RSRP and RSSI). </w:t>
      </w:r>
      <w:r w:rsidR="00E15359">
        <w:rPr>
          <w:bCs/>
          <w:sz w:val="22"/>
          <w:szCs w:val="22"/>
          <w:lang w:val="en-US" w:eastAsia="zh-CN"/>
        </w:rPr>
        <w:t xml:space="preserve">These RRM requirements </w:t>
      </w:r>
      <w:r w:rsidR="00636DE9">
        <w:rPr>
          <w:bCs/>
          <w:sz w:val="22"/>
          <w:szCs w:val="22"/>
          <w:lang w:val="en-US" w:eastAsia="zh-CN"/>
        </w:rPr>
        <w:t xml:space="preserve">being for UE </w:t>
      </w:r>
      <w:r w:rsidR="00E15359">
        <w:rPr>
          <w:bCs/>
          <w:sz w:val="22"/>
          <w:szCs w:val="22"/>
          <w:lang w:val="en-US" w:eastAsia="zh-CN"/>
        </w:rPr>
        <w:t xml:space="preserve">are </w:t>
      </w:r>
      <w:r w:rsidR="00636DE9">
        <w:rPr>
          <w:bCs/>
          <w:sz w:val="22"/>
          <w:szCs w:val="22"/>
          <w:lang w:val="en-US" w:eastAsia="zh-CN"/>
        </w:rPr>
        <w:t xml:space="preserve">applicable for scenarios in which the UE can be moving. But IAB node </w:t>
      </w:r>
      <w:r w:rsidR="00946C68">
        <w:rPr>
          <w:bCs/>
          <w:sz w:val="22"/>
          <w:szCs w:val="22"/>
          <w:lang w:val="en-US" w:eastAsia="zh-CN"/>
        </w:rPr>
        <w:t xml:space="preserve">is fixed and therefore the UE requirements for CLI are not relevant for the IAB. On the </w:t>
      </w:r>
      <w:proofErr w:type="spellStart"/>
      <w:r w:rsidR="00946C68">
        <w:rPr>
          <w:bCs/>
          <w:sz w:val="22"/>
          <w:szCs w:val="22"/>
          <w:lang w:val="en-US" w:eastAsia="zh-CN"/>
        </w:rPr>
        <w:t>contraray</w:t>
      </w:r>
      <w:proofErr w:type="spellEnd"/>
      <w:r w:rsidR="00946C68">
        <w:rPr>
          <w:bCs/>
          <w:sz w:val="22"/>
          <w:szCs w:val="22"/>
          <w:lang w:val="en-US" w:eastAsia="zh-CN"/>
        </w:rPr>
        <w:t xml:space="preserve"> </w:t>
      </w:r>
      <w:r w:rsidR="008664C8">
        <w:rPr>
          <w:bCs/>
          <w:sz w:val="22"/>
          <w:szCs w:val="22"/>
          <w:lang w:val="en-US" w:eastAsia="zh-CN"/>
        </w:rPr>
        <w:t xml:space="preserve">specifying the UE CLI </w:t>
      </w:r>
      <w:r w:rsidR="00A3479E">
        <w:rPr>
          <w:bCs/>
          <w:sz w:val="22"/>
          <w:szCs w:val="22"/>
          <w:lang w:val="en-US" w:eastAsia="zh-CN"/>
        </w:rPr>
        <w:t xml:space="preserve">measurement requirements for IAB-MT will limit the </w:t>
      </w:r>
      <w:proofErr w:type="spellStart"/>
      <w:r w:rsidR="00A3479E">
        <w:rPr>
          <w:bCs/>
          <w:sz w:val="22"/>
          <w:szCs w:val="22"/>
          <w:lang w:val="en-US" w:eastAsia="zh-CN"/>
        </w:rPr>
        <w:t>the</w:t>
      </w:r>
      <w:proofErr w:type="spellEnd"/>
      <w:r w:rsidR="00A3479E">
        <w:rPr>
          <w:bCs/>
          <w:sz w:val="22"/>
          <w:szCs w:val="22"/>
          <w:lang w:val="en-US" w:eastAsia="zh-CN"/>
        </w:rPr>
        <w:t xml:space="preserve"> IAB implementation flexibility. </w:t>
      </w:r>
      <w:r w:rsidR="000A7750">
        <w:rPr>
          <w:bCs/>
          <w:sz w:val="22"/>
          <w:szCs w:val="22"/>
          <w:lang w:val="en-US" w:eastAsia="zh-CN"/>
        </w:rPr>
        <w:t xml:space="preserve">The </w:t>
      </w:r>
      <w:r w:rsidR="00E776A3">
        <w:rPr>
          <w:bCs/>
          <w:sz w:val="22"/>
          <w:szCs w:val="22"/>
          <w:lang w:val="en-US" w:eastAsia="zh-CN"/>
        </w:rPr>
        <w:t xml:space="preserve">use of </w:t>
      </w:r>
      <w:r w:rsidR="000A7750">
        <w:rPr>
          <w:bCs/>
          <w:sz w:val="22"/>
          <w:szCs w:val="22"/>
          <w:lang w:val="en-US" w:eastAsia="zh-CN"/>
        </w:rPr>
        <w:t xml:space="preserve">CLI </w:t>
      </w:r>
      <w:r w:rsidR="00E776A3">
        <w:rPr>
          <w:bCs/>
          <w:sz w:val="22"/>
          <w:szCs w:val="22"/>
          <w:lang w:val="en-US" w:eastAsia="zh-CN"/>
        </w:rPr>
        <w:t xml:space="preserve">for interference mitigation </w:t>
      </w:r>
      <w:proofErr w:type="spellStart"/>
      <w:r w:rsidR="00E776A3">
        <w:rPr>
          <w:bCs/>
          <w:sz w:val="22"/>
          <w:szCs w:val="22"/>
          <w:lang w:val="en-US" w:eastAsia="zh-CN"/>
        </w:rPr>
        <w:t>mechasim</w:t>
      </w:r>
      <w:proofErr w:type="spellEnd"/>
      <w:r w:rsidR="00E776A3">
        <w:rPr>
          <w:bCs/>
          <w:sz w:val="22"/>
          <w:szCs w:val="22"/>
          <w:lang w:val="en-US" w:eastAsia="zh-CN"/>
        </w:rPr>
        <w:t xml:space="preserve"> highly</w:t>
      </w:r>
      <w:r w:rsidR="000A7750">
        <w:rPr>
          <w:bCs/>
          <w:sz w:val="22"/>
          <w:szCs w:val="22"/>
          <w:lang w:val="en-US" w:eastAsia="zh-CN"/>
        </w:rPr>
        <w:t xml:space="preserve"> depend</w:t>
      </w:r>
      <w:r w:rsidR="00E776A3">
        <w:rPr>
          <w:bCs/>
          <w:sz w:val="22"/>
          <w:szCs w:val="22"/>
          <w:lang w:val="en-US" w:eastAsia="zh-CN"/>
        </w:rPr>
        <w:t>s</w:t>
      </w:r>
      <w:r w:rsidR="000A7750">
        <w:rPr>
          <w:bCs/>
          <w:sz w:val="22"/>
          <w:szCs w:val="22"/>
          <w:lang w:val="en-US" w:eastAsia="zh-CN"/>
        </w:rPr>
        <w:t xml:space="preserve"> on the actual deployment scenario</w:t>
      </w:r>
      <w:r w:rsidR="00A50120">
        <w:rPr>
          <w:bCs/>
          <w:sz w:val="22"/>
          <w:szCs w:val="22"/>
          <w:lang w:val="en-US" w:eastAsia="zh-CN"/>
        </w:rPr>
        <w:t xml:space="preserve"> of the IAB</w:t>
      </w:r>
      <w:r w:rsidR="000A7750">
        <w:rPr>
          <w:bCs/>
          <w:sz w:val="22"/>
          <w:szCs w:val="22"/>
          <w:lang w:val="en-US" w:eastAsia="zh-CN"/>
        </w:rPr>
        <w:t>.</w:t>
      </w:r>
      <w:r w:rsidR="00A50120">
        <w:rPr>
          <w:bCs/>
          <w:sz w:val="22"/>
          <w:szCs w:val="22"/>
          <w:lang w:val="en-US" w:eastAsia="zh-CN"/>
        </w:rPr>
        <w:t xml:space="preserve"> There can be wide range of </w:t>
      </w:r>
      <w:r w:rsidR="00F51B8F">
        <w:rPr>
          <w:bCs/>
          <w:sz w:val="22"/>
          <w:szCs w:val="22"/>
          <w:lang w:val="en-US" w:eastAsia="zh-CN"/>
        </w:rPr>
        <w:t xml:space="preserve">IAB deployment </w:t>
      </w:r>
      <w:r w:rsidR="00A50120">
        <w:rPr>
          <w:bCs/>
          <w:sz w:val="22"/>
          <w:szCs w:val="22"/>
          <w:lang w:val="en-US" w:eastAsia="zh-CN"/>
        </w:rPr>
        <w:t>scenario</w:t>
      </w:r>
      <w:r w:rsidR="00F51B8F">
        <w:rPr>
          <w:bCs/>
          <w:sz w:val="22"/>
          <w:szCs w:val="22"/>
          <w:lang w:val="en-US" w:eastAsia="zh-CN"/>
        </w:rPr>
        <w:t xml:space="preserve">s. Therefore, </w:t>
      </w:r>
      <w:r w:rsidR="00A50120">
        <w:rPr>
          <w:bCs/>
          <w:sz w:val="22"/>
          <w:szCs w:val="22"/>
          <w:lang w:val="en-US" w:eastAsia="zh-CN"/>
        </w:rPr>
        <w:t xml:space="preserve">interference mitigation mechanism should be left for the implementation during the planning </w:t>
      </w:r>
      <w:r w:rsidR="00246A95">
        <w:rPr>
          <w:bCs/>
          <w:sz w:val="22"/>
          <w:szCs w:val="22"/>
          <w:lang w:val="en-US" w:eastAsia="zh-CN"/>
        </w:rPr>
        <w:t>phase. That is why for</w:t>
      </w:r>
      <w:r>
        <w:rPr>
          <w:bCs/>
          <w:sz w:val="22"/>
          <w:szCs w:val="22"/>
          <w:lang w:val="en-US" w:eastAsia="zh-CN"/>
        </w:rPr>
        <w:t xml:space="preserve"> IAB</w:t>
      </w:r>
      <w:r w:rsidR="00246A95">
        <w:rPr>
          <w:bCs/>
          <w:sz w:val="22"/>
          <w:szCs w:val="22"/>
          <w:lang w:val="en-US" w:eastAsia="zh-CN"/>
        </w:rPr>
        <w:t xml:space="preserve"> in general</w:t>
      </w:r>
      <w:r>
        <w:rPr>
          <w:bCs/>
          <w:sz w:val="22"/>
          <w:szCs w:val="22"/>
          <w:lang w:val="en-US" w:eastAsia="zh-CN"/>
        </w:rPr>
        <w:t xml:space="preserve">, RAN4 concluded in Rel-16 not to specify measurement requirements for IAB-MT related measurements. </w:t>
      </w:r>
      <w:r w:rsidR="00924E5E">
        <w:rPr>
          <w:bCs/>
          <w:sz w:val="22"/>
          <w:szCs w:val="22"/>
          <w:lang w:val="en-US" w:eastAsia="zh-CN"/>
        </w:rPr>
        <w:t xml:space="preserve">The necessary signaling </w:t>
      </w:r>
      <w:r w:rsidR="00677337">
        <w:rPr>
          <w:bCs/>
          <w:sz w:val="22"/>
          <w:szCs w:val="22"/>
          <w:lang w:val="en-US" w:eastAsia="zh-CN"/>
        </w:rPr>
        <w:t xml:space="preserve">to exchange relevant information between IAB nodes </w:t>
      </w:r>
      <w:r w:rsidR="00B84411">
        <w:rPr>
          <w:sz w:val="22"/>
          <w:szCs w:val="22"/>
          <w:lang w:val="en-US"/>
        </w:rPr>
        <w:t xml:space="preserve">defined in TS 38.423 </w:t>
      </w:r>
      <w:r w:rsidR="00677337">
        <w:rPr>
          <w:bCs/>
          <w:sz w:val="22"/>
          <w:szCs w:val="22"/>
          <w:lang w:val="en-US" w:eastAsia="zh-CN"/>
        </w:rPr>
        <w:t xml:space="preserve">for </w:t>
      </w:r>
      <w:r w:rsidR="00677337">
        <w:rPr>
          <w:sz w:val="22"/>
          <w:szCs w:val="22"/>
          <w:lang w:val="en-US"/>
        </w:rPr>
        <w:t xml:space="preserve">cross layer interference mitigation/management </w:t>
      </w:r>
      <w:r w:rsidR="00B84411">
        <w:rPr>
          <w:sz w:val="22"/>
          <w:szCs w:val="22"/>
          <w:lang w:val="en-US"/>
        </w:rPr>
        <w:t xml:space="preserve">is sufficient. </w:t>
      </w:r>
    </w:p>
    <w:p w14:paraId="7F29913B" w14:textId="627410CB" w:rsidR="00246A95" w:rsidRDefault="00246A95" w:rsidP="003038F6">
      <w:pPr>
        <w:spacing w:before="240"/>
        <w:rPr>
          <w:bCs/>
          <w:sz w:val="22"/>
          <w:szCs w:val="22"/>
          <w:lang w:val="en-US" w:eastAsia="zh-CN"/>
        </w:rPr>
      </w:pPr>
      <w:r>
        <w:rPr>
          <w:bCs/>
          <w:sz w:val="22"/>
          <w:szCs w:val="22"/>
          <w:lang w:val="en-US" w:eastAsia="zh-CN"/>
        </w:rPr>
        <w:t xml:space="preserve">In summary, </w:t>
      </w:r>
      <w:r w:rsidR="00B84411">
        <w:rPr>
          <w:bCs/>
          <w:sz w:val="22"/>
          <w:szCs w:val="22"/>
          <w:lang w:val="en-US" w:eastAsia="zh-CN"/>
        </w:rPr>
        <w:t xml:space="preserve">our conclusion is that </w:t>
      </w:r>
      <w:r>
        <w:rPr>
          <w:bCs/>
          <w:sz w:val="22"/>
          <w:szCs w:val="22"/>
          <w:lang w:val="en-US" w:eastAsia="zh-CN"/>
        </w:rPr>
        <w:t xml:space="preserve">no CLI measurement requirements </w:t>
      </w:r>
      <w:r w:rsidR="00B84411">
        <w:rPr>
          <w:bCs/>
          <w:sz w:val="22"/>
          <w:szCs w:val="22"/>
          <w:lang w:val="en-US" w:eastAsia="zh-CN"/>
        </w:rPr>
        <w:t xml:space="preserve">are needed </w:t>
      </w:r>
      <w:r>
        <w:rPr>
          <w:bCs/>
          <w:sz w:val="22"/>
          <w:szCs w:val="22"/>
          <w:lang w:val="en-US" w:eastAsia="zh-CN"/>
        </w:rPr>
        <w:t xml:space="preserve">for IAB-MT. </w:t>
      </w:r>
    </w:p>
    <w:p w14:paraId="7974E98F" w14:textId="67FCE4B3" w:rsidR="00A739C2" w:rsidRDefault="00E127E3" w:rsidP="00E127E3">
      <w:pPr>
        <w:pStyle w:val="Heading1"/>
        <w:numPr>
          <w:ilvl w:val="0"/>
          <w:numId w:val="47"/>
        </w:numPr>
        <w:spacing w:before="360"/>
        <w:ind w:left="357" w:hanging="357"/>
      </w:pPr>
      <w:r>
        <w:t>C</w:t>
      </w:r>
      <w:r w:rsidR="00A739C2">
        <w:t xml:space="preserve">ase-6 timing </w:t>
      </w:r>
      <w:r w:rsidR="00AD7153">
        <w:t>requirement</w:t>
      </w:r>
    </w:p>
    <w:p w14:paraId="5330B29F" w14:textId="017F10B3" w:rsidR="00A26DFE" w:rsidRDefault="001751F4" w:rsidP="00AD7153">
      <w:pPr>
        <w:rPr>
          <w:lang w:val="en-GB" w:eastAsia="en-US"/>
        </w:rPr>
      </w:pPr>
      <w:r>
        <w:rPr>
          <w:lang w:val="en-GB" w:eastAsia="en-US"/>
        </w:rPr>
        <w:t>In RAN4#101-bis-e, RRM group agre</w:t>
      </w:r>
      <w:r w:rsidR="007B0B45">
        <w:rPr>
          <w:lang w:val="en-GB" w:eastAsia="en-US"/>
        </w:rPr>
        <w:t>ed</w:t>
      </w:r>
      <w:r>
        <w:rPr>
          <w:lang w:val="en-GB" w:eastAsia="en-US"/>
        </w:rPr>
        <w:t xml:space="preserve"> </w:t>
      </w:r>
      <w:r w:rsidR="004F5902">
        <w:rPr>
          <w:lang w:val="en-GB" w:eastAsia="en-US"/>
        </w:rPr>
        <w:t xml:space="preserve">that </w:t>
      </w:r>
      <w:r w:rsidR="007B0B45">
        <w:rPr>
          <w:lang w:val="en-GB" w:eastAsia="en-US"/>
        </w:rPr>
        <w:t xml:space="preserve">there is </w:t>
      </w:r>
      <w:r>
        <w:rPr>
          <w:lang w:val="en-GB" w:eastAsia="en-US"/>
        </w:rPr>
        <w:t xml:space="preserve">no RRM impact </w:t>
      </w:r>
      <w:r w:rsidR="007B0B45">
        <w:rPr>
          <w:lang w:val="en-GB" w:eastAsia="en-US"/>
        </w:rPr>
        <w:t xml:space="preserve">of </w:t>
      </w:r>
      <w:r>
        <w:rPr>
          <w:lang w:val="en-GB" w:eastAsia="en-US"/>
        </w:rPr>
        <w:t>case-6 timing</w:t>
      </w:r>
      <w:r w:rsidR="007B0B45">
        <w:rPr>
          <w:lang w:val="en-GB" w:eastAsia="en-US"/>
        </w:rPr>
        <w:t xml:space="preserve"> on RRM [1]</w:t>
      </w:r>
      <w:r>
        <w:rPr>
          <w:lang w:val="en-GB" w:eastAsia="en-US"/>
        </w:rPr>
        <w:t>.</w:t>
      </w:r>
      <w:r w:rsidR="001D0360">
        <w:rPr>
          <w:lang w:val="en-GB" w:eastAsia="en-US"/>
        </w:rPr>
        <w:t xml:space="preserve"> </w:t>
      </w:r>
      <w:r>
        <w:rPr>
          <w:lang w:val="en-GB" w:eastAsia="en-US"/>
        </w:rPr>
        <w:t xml:space="preserve">However, </w:t>
      </w:r>
      <w:r w:rsidR="00092B92">
        <w:rPr>
          <w:lang w:val="en-GB" w:eastAsia="en-US"/>
        </w:rPr>
        <w:t xml:space="preserve">there may be interference issue </w:t>
      </w:r>
      <w:r w:rsidR="00A26DFE">
        <w:rPr>
          <w:lang w:val="en-GB" w:eastAsia="en-US"/>
        </w:rPr>
        <w:t xml:space="preserve">if the IAB-MT </w:t>
      </w:r>
      <w:r w:rsidR="000B6531">
        <w:rPr>
          <w:lang w:val="en-GB" w:eastAsia="en-US"/>
        </w:rPr>
        <w:t xml:space="preserve">does </w:t>
      </w:r>
      <w:r w:rsidR="00A26DFE">
        <w:rPr>
          <w:lang w:val="en-GB" w:eastAsia="en-US"/>
        </w:rPr>
        <w:t>not respect the cell phase sync</w:t>
      </w:r>
      <w:r w:rsidR="000B6531">
        <w:rPr>
          <w:lang w:val="en-GB" w:eastAsia="en-US"/>
        </w:rPr>
        <w:t>hronization</w:t>
      </w:r>
      <w:r w:rsidR="00A26DFE">
        <w:rPr>
          <w:lang w:val="en-GB" w:eastAsia="en-US"/>
        </w:rPr>
        <w:t xml:space="preserve"> when it transmit</w:t>
      </w:r>
      <w:r w:rsidR="000B6531">
        <w:rPr>
          <w:lang w:val="en-GB" w:eastAsia="en-US"/>
        </w:rPr>
        <w:t>s</w:t>
      </w:r>
      <w:r w:rsidR="00A26DFE">
        <w:rPr>
          <w:lang w:val="en-GB" w:eastAsia="en-US"/>
        </w:rPr>
        <w:t xml:space="preserve"> in DL time slot. </w:t>
      </w:r>
      <w:r w:rsidR="00D344C7">
        <w:rPr>
          <w:lang w:val="en-GB" w:eastAsia="en-US"/>
        </w:rPr>
        <w:t>C</w:t>
      </w:r>
      <w:r w:rsidR="00A26DFE">
        <w:rPr>
          <w:lang w:val="en-GB" w:eastAsia="en-US"/>
        </w:rPr>
        <w:t xml:space="preserve">urrently RF group </w:t>
      </w:r>
      <w:r w:rsidR="00D344C7">
        <w:rPr>
          <w:lang w:val="en-GB" w:eastAsia="en-US"/>
        </w:rPr>
        <w:t xml:space="preserve">is </w:t>
      </w:r>
      <w:proofErr w:type="spellStart"/>
      <w:r w:rsidR="00A26DFE">
        <w:rPr>
          <w:lang w:val="en-GB" w:eastAsia="en-US"/>
        </w:rPr>
        <w:t>disucss</w:t>
      </w:r>
      <w:r w:rsidR="00D344C7">
        <w:rPr>
          <w:lang w:val="en-GB" w:eastAsia="en-US"/>
        </w:rPr>
        <w:t>ing</w:t>
      </w:r>
      <w:proofErr w:type="spellEnd"/>
      <w:r w:rsidR="00136DD0">
        <w:rPr>
          <w:lang w:val="en-GB" w:eastAsia="en-US"/>
        </w:rPr>
        <w:t xml:space="preserve"> whether to set the TAE requirement between DL and MT</w:t>
      </w:r>
      <w:r w:rsidR="00D344C7">
        <w:rPr>
          <w:lang w:val="en-GB" w:eastAsia="en-US"/>
        </w:rPr>
        <w:t>. But in o</w:t>
      </w:r>
      <w:r w:rsidR="00136DD0">
        <w:rPr>
          <w:lang w:val="en-GB" w:eastAsia="en-US"/>
        </w:rPr>
        <w:t xml:space="preserve">ur view such TAE requirement in RF group cannot guarantee </w:t>
      </w:r>
      <w:r w:rsidR="00D344C7">
        <w:rPr>
          <w:lang w:val="en-GB" w:eastAsia="en-US"/>
        </w:rPr>
        <w:t xml:space="preserve">that </w:t>
      </w:r>
      <w:r w:rsidR="00136DD0">
        <w:rPr>
          <w:lang w:val="en-GB" w:eastAsia="en-US"/>
        </w:rPr>
        <w:t>th</w:t>
      </w:r>
      <w:r w:rsidR="009A17EC">
        <w:rPr>
          <w:lang w:val="en-GB" w:eastAsia="en-US"/>
        </w:rPr>
        <w:t xml:space="preserve">ere </w:t>
      </w:r>
      <w:r w:rsidR="00D344C7">
        <w:rPr>
          <w:lang w:val="en-GB" w:eastAsia="en-US"/>
        </w:rPr>
        <w:t xml:space="preserve">will be </w:t>
      </w:r>
      <w:r w:rsidR="009A17EC">
        <w:rPr>
          <w:lang w:val="en-GB" w:eastAsia="en-US"/>
        </w:rPr>
        <w:t>no cell interference issue.</w:t>
      </w:r>
      <w:r w:rsidR="00CA0304">
        <w:rPr>
          <w:lang w:val="en-GB" w:eastAsia="en-US"/>
        </w:rPr>
        <w:t xml:space="preserve"> </w:t>
      </w:r>
      <w:r w:rsidR="00E0525D">
        <w:rPr>
          <w:lang w:val="en-US" w:eastAsia="zh-CN"/>
        </w:rPr>
        <w:t xml:space="preserve">Assuming </w:t>
      </w:r>
      <w:r w:rsidR="00CA0304" w:rsidRPr="00E127E3">
        <w:rPr>
          <w:lang w:val="en-US" w:eastAsia="zh-CN"/>
        </w:rPr>
        <w:t>TAE between IAB-MT and its co-located IAB-DU and considering also th</w:t>
      </w:r>
      <w:r w:rsidR="00D26214">
        <w:rPr>
          <w:lang w:val="en-US" w:eastAsia="zh-CN"/>
        </w:rPr>
        <w:t xml:space="preserve">at the </w:t>
      </w:r>
      <w:r w:rsidR="00CA0304" w:rsidRPr="00E127E3">
        <w:rPr>
          <w:lang w:val="en-US" w:eastAsia="zh-CN"/>
        </w:rPr>
        <w:t xml:space="preserve">IAB-DU has 3 </w:t>
      </w:r>
      <w:r w:rsidR="00D26214">
        <w:rPr>
          <w:lang w:val="en-US" w:eastAsia="zh-CN"/>
        </w:rPr>
        <w:t>µ</w:t>
      </w:r>
      <w:r w:rsidR="00CA0304" w:rsidRPr="00E127E3">
        <w:rPr>
          <w:lang w:val="en-US" w:eastAsia="zh-CN"/>
        </w:rPr>
        <w:t>s cell phase requirement</w:t>
      </w:r>
      <w:r w:rsidR="00E0525D">
        <w:rPr>
          <w:lang w:val="en-US" w:eastAsia="zh-CN"/>
        </w:rPr>
        <w:t xml:space="preserve">, </w:t>
      </w:r>
      <w:r w:rsidR="00CA0304" w:rsidRPr="00E127E3">
        <w:rPr>
          <w:lang w:val="en-US" w:eastAsia="zh-CN"/>
        </w:rPr>
        <w:t xml:space="preserve">will </w:t>
      </w:r>
      <w:r w:rsidR="00E0525D">
        <w:rPr>
          <w:lang w:val="en-US" w:eastAsia="zh-CN"/>
        </w:rPr>
        <w:t>result in that</w:t>
      </w:r>
      <w:r w:rsidR="00CA0304" w:rsidRPr="00E127E3">
        <w:rPr>
          <w:lang w:val="en-US" w:eastAsia="zh-CN"/>
        </w:rPr>
        <w:t xml:space="preserve"> the IAB-MT timing become 3</w:t>
      </w:r>
      <w:r w:rsidR="00E0525D">
        <w:rPr>
          <w:lang w:val="en-US" w:eastAsia="zh-CN"/>
        </w:rPr>
        <w:t xml:space="preserve"> µ</w:t>
      </w:r>
      <w:r w:rsidR="00CA0304" w:rsidRPr="00E127E3">
        <w:rPr>
          <w:lang w:val="en-US" w:eastAsia="zh-CN"/>
        </w:rPr>
        <w:t xml:space="preserve">s + TAE as shown in </w:t>
      </w:r>
      <w:r w:rsidR="00CA0304">
        <w:rPr>
          <w:lang w:eastAsia="zh-CN"/>
        </w:rPr>
        <w:fldChar w:fldCharType="begin"/>
      </w:r>
      <w:r w:rsidR="00CA0304" w:rsidRPr="00E127E3">
        <w:rPr>
          <w:lang w:val="en-US" w:eastAsia="zh-CN"/>
        </w:rPr>
        <w:instrText xml:space="preserve"> REF _Ref90027411 \h </w:instrText>
      </w:r>
      <w:r w:rsidR="00CA0304">
        <w:rPr>
          <w:lang w:eastAsia="zh-CN"/>
        </w:rPr>
      </w:r>
      <w:r w:rsidR="00CA0304">
        <w:rPr>
          <w:lang w:eastAsia="zh-CN"/>
        </w:rPr>
        <w:fldChar w:fldCharType="separate"/>
      </w:r>
      <w:r w:rsidR="00CA0304" w:rsidRPr="00E127E3">
        <w:rPr>
          <w:lang w:val="en-US"/>
        </w:rPr>
        <w:t xml:space="preserve">Figure </w:t>
      </w:r>
      <w:r w:rsidR="00CA0304">
        <w:rPr>
          <w:noProof/>
          <w:lang w:val="en-US"/>
        </w:rPr>
        <w:t>1</w:t>
      </w:r>
      <w:r w:rsidR="00CA0304">
        <w:rPr>
          <w:lang w:eastAsia="zh-CN"/>
        </w:rPr>
        <w:fldChar w:fldCharType="end"/>
      </w:r>
      <w:r w:rsidR="00CA0304" w:rsidRPr="00E127E3">
        <w:rPr>
          <w:lang w:val="en-US" w:eastAsia="zh-CN"/>
        </w:rPr>
        <w:t>. The IAB-MT and IAB-DU operate in different cell</w:t>
      </w:r>
      <w:r w:rsidR="00A27D94">
        <w:rPr>
          <w:lang w:val="en-US" w:eastAsia="zh-CN"/>
        </w:rPr>
        <w:t>s</w:t>
      </w:r>
      <w:r w:rsidR="00CA0304" w:rsidRPr="00E127E3">
        <w:rPr>
          <w:lang w:val="en-US" w:eastAsia="zh-CN"/>
        </w:rPr>
        <w:t xml:space="preserve"> and if IAB-MT does not follow the cell phase sync</w:t>
      </w:r>
      <w:r w:rsidR="00A27D94">
        <w:rPr>
          <w:lang w:val="en-US" w:eastAsia="zh-CN"/>
        </w:rPr>
        <w:t>hronization</w:t>
      </w:r>
      <w:r w:rsidR="00CA0304" w:rsidRPr="00E127E3">
        <w:rPr>
          <w:lang w:val="en-US" w:eastAsia="zh-CN"/>
        </w:rPr>
        <w:t xml:space="preserve"> requirement</w:t>
      </w:r>
      <w:r w:rsidR="00A27D94">
        <w:rPr>
          <w:lang w:val="en-US" w:eastAsia="zh-CN"/>
        </w:rPr>
        <w:t xml:space="preserve"> then </w:t>
      </w:r>
      <w:r w:rsidR="00B845D0">
        <w:rPr>
          <w:lang w:val="en-US" w:eastAsia="zh-CN"/>
        </w:rPr>
        <w:t>t</w:t>
      </w:r>
      <w:r w:rsidR="00CA0304" w:rsidRPr="00E127E3">
        <w:rPr>
          <w:lang w:val="en-US" w:eastAsia="zh-CN"/>
        </w:rPr>
        <w:t xml:space="preserve">here can be interference between </w:t>
      </w:r>
      <w:r w:rsidR="00416922">
        <w:rPr>
          <w:lang w:val="en-US" w:eastAsia="zh-CN"/>
        </w:rPr>
        <w:t xml:space="preserve">the two </w:t>
      </w:r>
      <w:r w:rsidR="00CA0304" w:rsidRPr="00E127E3">
        <w:rPr>
          <w:lang w:val="en-US" w:eastAsia="zh-CN"/>
        </w:rPr>
        <w:t>cells. However, such interference issue cannot be solved by setting the TAE requirement.</w:t>
      </w:r>
      <w:r w:rsidR="00416922">
        <w:rPr>
          <w:lang w:val="en-US" w:eastAsia="zh-CN"/>
        </w:rPr>
        <w:t xml:space="preserve"> </w:t>
      </w:r>
      <w:r w:rsidR="00CA0304" w:rsidRPr="00E127E3">
        <w:rPr>
          <w:lang w:val="en-US" w:eastAsia="zh-CN"/>
        </w:rPr>
        <w:t xml:space="preserve">Even if the additional TAE takes the budget of </w:t>
      </w:r>
      <w:r w:rsidR="00CA0304" w:rsidRPr="00E127E3">
        <w:rPr>
          <w:lang w:val="en-US" w:eastAsia="zh-CN"/>
        </w:rPr>
        <w:lastRenderedPageBreak/>
        <w:t>the IAB-DU cell phase sync</w:t>
      </w:r>
      <w:r w:rsidR="00416922">
        <w:rPr>
          <w:lang w:val="en-US" w:eastAsia="zh-CN"/>
        </w:rPr>
        <w:t>hronization</w:t>
      </w:r>
      <w:r w:rsidR="00CA0304" w:rsidRPr="00E127E3">
        <w:rPr>
          <w:lang w:val="en-US" w:eastAsia="zh-CN"/>
        </w:rPr>
        <w:t xml:space="preserve"> requirement in </w:t>
      </w:r>
      <w:r w:rsidR="00CA0304">
        <w:rPr>
          <w:lang w:eastAsia="zh-CN"/>
        </w:rPr>
        <w:fldChar w:fldCharType="begin"/>
      </w:r>
      <w:r w:rsidR="00CA0304" w:rsidRPr="00E127E3">
        <w:rPr>
          <w:lang w:val="en-US" w:eastAsia="zh-CN"/>
        </w:rPr>
        <w:instrText xml:space="preserve"> REF _Ref92276674 \h </w:instrText>
      </w:r>
      <w:r w:rsidR="00CA0304">
        <w:rPr>
          <w:lang w:eastAsia="zh-CN"/>
        </w:rPr>
      </w:r>
      <w:r w:rsidR="00CA0304">
        <w:rPr>
          <w:lang w:eastAsia="zh-CN"/>
        </w:rPr>
        <w:fldChar w:fldCharType="separate"/>
      </w:r>
      <w:r w:rsidR="00CA0304" w:rsidRPr="00E127E3">
        <w:rPr>
          <w:lang w:val="en-US"/>
        </w:rPr>
        <w:t xml:space="preserve">Figure </w:t>
      </w:r>
      <w:r w:rsidR="008F4A68">
        <w:rPr>
          <w:noProof/>
          <w:lang w:val="en-US"/>
        </w:rPr>
        <w:t>2</w:t>
      </w:r>
      <w:r w:rsidR="00CA0304">
        <w:rPr>
          <w:lang w:eastAsia="zh-CN"/>
        </w:rPr>
        <w:fldChar w:fldCharType="end"/>
      </w:r>
      <w:r w:rsidR="00CA0304" w:rsidRPr="00E127E3">
        <w:rPr>
          <w:lang w:val="en-US" w:eastAsia="zh-CN"/>
        </w:rPr>
        <w:t xml:space="preserve">, there </w:t>
      </w:r>
      <w:r w:rsidR="00416922">
        <w:rPr>
          <w:lang w:val="en-US" w:eastAsia="zh-CN"/>
        </w:rPr>
        <w:t xml:space="preserve">is a </w:t>
      </w:r>
      <w:r w:rsidR="00CA0304" w:rsidRPr="00E127E3">
        <w:rPr>
          <w:lang w:val="en-US" w:eastAsia="zh-CN"/>
        </w:rPr>
        <w:t>need for a cell phase sync</w:t>
      </w:r>
      <w:r w:rsidR="00416922">
        <w:rPr>
          <w:lang w:val="en-US" w:eastAsia="zh-CN"/>
        </w:rPr>
        <w:t>hronization</w:t>
      </w:r>
      <w:r w:rsidR="00CA0304" w:rsidRPr="00E127E3">
        <w:rPr>
          <w:lang w:val="en-US" w:eastAsia="zh-CN"/>
        </w:rPr>
        <w:t xml:space="preserve"> requirement on IAB-MT transmitting in DL time slot</w:t>
      </w:r>
      <w:r w:rsidR="00891962">
        <w:rPr>
          <w:lang w:val="en-US" w:eastAsia="zh-CN"/>
        </w:rPr>
        <w:t xml:space="preserve">. But this </w:t>
      </w:r>
      <w:r w:rsidR="00CA0304" w:rsidRPr="00E127E3">
        <w:rPr>
          <w:lang w:val="en-US" w:eastAsia="zh-CN"/>
        </w:rPr>
        <w:t xml:space="preserve">is not </w:t>
      </w:r>
      <w:r w:rsidR="00891962">
        <w:rPr>
          <w:lang w:val="en-US" w:eastAsia="zh-CN"/>
        </w:rPr>
        <w:t>specified</w:t>
      </w:r>
      <w:r w:rsidR="00CA0304" w:rsidRPr="00E127E3">
        <w:rPr>
          <w:lang w:val="en-US" w:eastAsia="zh-CN"/>
        </w:rPr>
        <w:t xml:space="preserve"> in </w:t>
      </w:r>
      <w:r w:rsidR="00891962">
        <w:rPr>
          <w:lang w:val="en-US" w:eastAsia="zh-CN"/>
        </w:rPr>
        <w:t xml:space="preserve">the </w:t>
      </w:r>
      <w:r w:rsidR="00CA0304" w:rsidRPr="00E127E3">
        <w:rPr>
          <w:lang w:val="en-US" w:eastAsia="zh-CN"/>
        </w:rPr>
        <w:t>specification.</w:t>
      </w:r>
      <w:r w:rsidR="008F4A68">
        <w:rPr>
          <w:lang w:val="en-US" w:eastAsia="zh-CN"/>
        </w:rPr>
        <w:t xml:space="preserve"> Th</w:t>
      </w:r>
      <w:r w:rsidR="00891962">
        <w:rPr>
          <w:lang w:val="en-US" w:eastAsia="zh-CN"/>
        </w:rPr>
        <w:t xml:space="preserve">erefore, </w:t>
      </w:r>
      <w:r w:rsidR="008F4A68">
        <w:rPr>
          <w:lang w:val="en-US" w:eastAsia="zh-CN"/>
        </w:rPr>
        <w:t>we propose to add the cell phase sync</w:t>
      </w:r>
      <w:r w:rsidR="00891962">
        <w:rPr>
          <w:lang w:val="en-US" w:eastAsia="zh-CN"/>
        </w:rPr>
        <w:t>hronization</w:t>
      </w:r>
      <w:r w:rsidR="008F4A68">
        <w:rPr>
          <w:lang w:val="en-US" w:eastAsia="zh-CN"/>
        </w:rPr>
        <w:t xml:space="preserve"> requirement on IAB-MT when it transmits in DL time slots.</w:t>
      </w:r>
    </w:p>
    <w:p w14:paraId="0976A025" w14:textId="77777777" w:rsidR="009A17EC" w:rsidRDefault="009A17EC" w:rsidP="00AD7153">
      <w:pPr>
        <w:rPr>
          <w:lang w:val="en-GB" w:eastAsia="en-US"/>
        </w:rPr>
      </w:pPr>
    </w:p>
    <w:p w14:paraId="557A2B56" w14:textId="77777777" w:rsidR="001A2EB0" w:rsidRDefault="001A2EB0" w:rsidP="001A2EB0">
      <w:pPr>
        <w:pStyle w:val="ListParagraph"/>
        <w:numPr>
          <w:ilvl w:val="0"/>
          <w:numId w:val="46"/>
        </w:numPr>
        <w:spacing w:line="256" w:lineRule="auto"/>
        <w:jc w:val="center"/>
        <w:textAlignment w:val="baseline"/>
      </w:pPr>
      <w:r>
        <w:rPr>
          <w:noProof/>
        </w:rPr>
        <w:object w:dxaOrig="4728" w:dyaOrig="6888" w14:anchorId="4E029E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8.35pt;height:274.75pt" o:ole="">
            <v:imagedata r:id="rId12" o:title=""/>
          </v:shape>
          <o:OLEObject Type="Embed" ProgID="Visio.Drawing.15" ShapeID="_x0000_i1025" DrawAspect="Content" ObjectID="_1706382505" r:id="rId13"/>
        </w:object>
      </w:r>
    </w:p>
    <w:p w14:paraId="4ADD7508" w14:textId="032909CF" w:rsidR="001A2EB0" w:rsidRDefault="001A2EB0" w:rsidP="001A2EB0">
      <w:pPr>
        <w:pStyle w:val="Caption"/>
        <w:jc w:val="center"/>
      </w:pPr>
      <w:bookmarkStart w:id="3" w:name="_Ref90027411"/>
      <w:r>
        <w:t xml:space="preserve">Figure </w:t>
      </w:r>
      <w:bookmarkEnd w:id="3"/>
      <w:r>
        <w:t>1: TAE between IAB-MT and IAB-DU violates the cell phase sync requirement in RRM</w:t>
      </w:r>
    </w:p>
    <w:p w14:paraId="6A4479C8" w14:textId="77777777" w:rsidR="008F4A68" w:rsidRDefault="008F4A68" w:rsidP="008F4A68">
      <w:pPr>
        <w:ind w:left="2160" w:firstLine="720"/>
      </w:pPr>
      <w:r>
        <w:rPr>
          <w:noProof/>
        </w:rPr>
        <w:object w:dxaOrig="4728" w:dyaOrig="6888" w14:anchorId="3A4E55F5">
          <v:shape id="_x0000_i1026" type="#_x0000_t75" style="width:188.35pt;height:274.75pt" o:ole="">
            <v:imagedata r:id="rId14" o:title=""/>
          </v:shape>
          <o:OLEObject Type="Embed" ProgID="Visio.Drawing.15" ShapeID="_x0000_i1026" DrawAspect="Content" ObjectID="_1706382506" r:id="rId15"/>
        </w:object>
      </w:r>
    </w:p>
    <w:p w14:paraId="6000EF6E" w14:textId="62F765A9" w:rsidR="008F4A68" w:rsidRDefault="008F4A68" w:rsidP="008F4A68">
      <w:pPr>
        <w:pStyle w:val="Caption"/>
        <w:jc w:val="center"/>
      </w:pPr>
      <w:bookmarkStart w:id="4" w:name="_Ref92276674"/>
      <w:r>
        <w:t>Figure</w:t>
      </w:r>
      <w:bookmarkEnd w:id="4"/>
      <w:r>
        <w:t xml:space="preserve"> 2:</w:t>
      </w:r>
      <w:r w:rsidRPr="00FE6B5A">
        <w:t xml:space="preserve"> </w:t>
      </w:r>
      <w:r>
        <w:t>TAE between IAB-MT and IAB-DU takes IAB-DU cell phase sync budget of 3 us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lastRenderedPageBreak/>
        <w:t>Summary</w:t>
      </w:r>
    </w:p>
    <w:p w14:paraId="23F132DC" w14:textId="07DA919D" w:rsidR="001C1D0D" w:rsidRPr="00D83109" w:rsidRDefault="00D53884" w:rsidP="003C4CA3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>The following are the observations and proposals based on the analysis provided in this paper</w:t>
      </w:r>
      <w:r w:rsidR="001C1D0D" w:rsidRPr="00D83109">
        <w:rPr>
          <w:sz w:val="22"/>
          <w:szCs w:val="22"/>
          <w:lang w:val="en-US"/>
        </w:rPr>
        <w:t>:</w:t>
      </w:r>
    </w:p>
    <w:p w14:paraId="72F2FB09" w14:textId="4A37D6F0" w:rsidR="00171316" w:rsidRPr="00171316" w:rsidRDefault="00171316" w:rsidP="00171316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CLI for IAB</w:t>
      </w:r>
      <w:r w:rsidRPr="00171316">
        <w:rPr>
          <w:b/>
          <w:bCs/>
          <w:sz w:val="20"/>
          <w:szCs w:val="20"/>
          <w:u w:val="single"/>
        </w:rPr>
        <w:t>:</w:t>
      </w:r>
    </w:p>
    <w:p w14:paraId="567011C4" w14:textId="6696C20A" w:rsidR="001A7FAB" w:rsidRDefault="001A7FAB" w:rsidP="001A7FAB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AA440C">
        <w:rPr>
          <w:rFonts w:ascii="Times New Roman" w:hAnsi="Times New Roman"/>
          <w:b/>
          <w:bCs/>
          <w:sz w:val="20"/>
          <w:szCs w:val="20"/>
        </w:rPr>
        <w:t>1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 w:rsidRPr="001A7FAB">
        <w:rPr>
          <w:rFonts w:ascii="Times New Roman" w:hAnsi="Times New Roman"/>
          <w:sz w:val="20"/>
          <w:szCs w:val="20"/>
        </w:rPr>
        <w:t>Unlike, the UE, which moves around, the IAB is fixed node. The</w:t>
      </w:r>
      <w:r>
        <w:rPr>
          <w:rFonts w:ascii="Times New Roman" w:hAnsi="Times New Roman"/>
          <w:sz w:val="20"/>
          <w:szCs w:val="20"/>
        </w:rPr>
        <w:t xml:space="preserve">refore, the </w:t>
      </w:r>
      <w:r w:rsidRPr="001A7FAB">
        <w:rPr>
          <w:rFonts w:ascii="Times New Roman" w:hAnsi="Times New Roman"/>
          <w:sz w:val="20"/>
          <w:szCs w:val="20"/>
        </w:rPr>
        <w:t xml:space="preserve">need for CLI requirements </w:t>
      </w:r>
      <w:r>
        <w:rPr>
          <w:rFonts w:ascii="Times New Roman" w:hAnsi="Times New Roman"/>
          <w:sz w:val="20"/>
          <w:szCs w:val="20"/>
        </w:rPr>
        <w:t xml:space="preserve">(if CLI is needed) </w:t>
      </w:r>
      <w:r w:rsidRPr="001A7FAB">
        <w:rPr>
          <w:rFonts w:ascii="Times New Roman" w:hAnsi="Times New Roman"/>
          <w:sz w:val="20"/>
          <w:szCs w:val="20"/>
        </w:rPr>
        <w:t>depend</w:t>
      </w:r>
      <w:r w:rsidR="00AA440C">
        <w:rPr>
          <w:rFonts w:ascii="Times New Roman" w:hAnsi="Times New Roman"/>
          <w:sz w:val="20"/>
          <w:szCs w:val="20"/>
        </w:rPr>
        <w:t>s</w:t>
      </w:r>
      <w:r w:rsidRPr="001A7FAB">
        <w:rPr>
          <w:rFonts w:ascii="Times New Roman" w:hAnsi="Times New Roman"/>
          <w:sz w:val="20"/>
          <w:szCs w:val="20"/>
        </w:rPr>
        <w:t xml:space="preserve"> on the actual deployment scenario.</w:t>
      </w:r>
    </w:p>
    <w:p w14:paraId="409EE202" w14:textId="69DF7835" w:rsidR="00F51B8F" w:rsidRDefault="00F51B8F" w:rsidP="00F51B8F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 w:rsidRPr="001A7FAB">
        <w:rPr>
          <w:rFonts w:ascii="Times New Roman" w:hAnsi="Times New Roman"/>
          <w:sz w:val="20"/>
          <w:szCs w:val="20"/>
        </w:rPr>
        <w:t xml:space="preserve">IAB </w:t>
      </w:r>
      <w:r>
        <w:rPr>
          <w:rFonts w:ascii="Times New Roman" w:hAnsi="Times New Roman"/>
          <w:sz w:val="20"/>
          <w:szCs w:val="20"/>
        </w:rPr>
        <w:t xml:space="preserve">can be deployed in wide range of </w:t>
      </w:r>
      <w:r w:rsidRPr="001A7FAB">
        <w:rPr>
          <w:rFonts w:ascii="Times New Roman" w:hAnsi="Times New Roman"/>
          <w:sz w:val="20"/>
          <w:szCs w:val="20"/>
        </w:rPr>
        <w:t>deployment scenario</w:t>
      </w:r>
      <w:r>
        <w:rPr>
          <w:rFonts w:ascii="Times New Roman" w:hAnsi="Times New Roman"/>
          <w:sz w:val="20"/>
          <w:szCs w:val="20"/>
        </w:rPr>
        <w:t>s</w:t>
      </w:r>
      <w:r w:rsidRPr="001A7FAB">
        <w:rPr>
          <w:rFonts w:ascii="Times New Roman" w:hAnsi="Times New Roman"/>
          <w:sz w:val="20"/>
          <w:szCs w:val="20"/>
        </w:rPr>
        <w:t>.</w:t>
      </w:r>
    </w:p>
    <w:p w14:paraId="3D138B2E" w14:textId="66102C9C" w:rsidR="00F51B8F" w:rsidRPr="0009274C" w:rsidRDefault="00F51B8F" w:rsidP="00F51B8F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09274C">
        <w:rPr>
          <w:rFonts w:ascii="Times New Roman" w:hAnsi="Times New Roman"/>
          <w:b/>
          <w:bCs/>
          <w:sz w:val="20"/>
          <w:szCs w:val="20"/>
        </w:rPr>
        <w:t>Observation 3</w:t>
      </w:r>
      <w:r w:rsidRPr="0009274C">
        <w:rPr>
          <w:rFonts w:ascii="Times New Roman" w:hAnsi="Times New Roman"/>
          <w:sz w:val="20"/>
          <w:szCs w:val="20"/>
        </w:rPr>
        <w:t>: Standardization of the CLI measurement requirements will limit the IAB implementation flexibility</w:t>
      </w:r>
      <w:r w:rsidR="00F07D5C" w:rsidRPr="0009274C">
        <w:rPr>
          <w:rFonts w:ascii="Times New Roman" w:hAnsi="Times New Roman"/>
          <w:sz w:val="20"/>
          <w:szCs w:val="20"/>
        </w:rPr>
        <w:t xml:space="preserve"> making CLI measurement requirements less effective and even degrade the overall performance in some scenarios</w:t>
      </w:r>
      <w:r w:rsidRPr="0009274C">
        <w:rPr>
          <w:rFonts w:ascii="Times New Roman" w:hAnsi="Times New Roman"/>
          <w:sz w:val="20"/>
          <w:szCs w:val="20"/>
        </w:rPr>
        <w:t>.</w:t>
      </w:r>
    </w:p>
    <w:p w14:paraId="14D25864" w14:textId="42F98463" w:rsidR="00F51B8F" w:rsidRPr="0009274C" w:rsidRDefault="00F51B8F" w:rsidP="00F51B8F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09274C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F07D5C" w:rsidRPr="0009274C">
        <w:rPr>
          <w:rFonts w:ascii="Times New Roman" w:hAnsi="Times New Roman"/>
          <w:b/>
          <w:bCs/>
          <w:sz w:val="20"/>
          <w:szCs w:val="20"/>
        </w:rPr>
        <w:t>4</w:t>
      </w:r>
      <w:r w:rsidRPr="0009274C">
        <w:rPr>
          <w:rFonts w:ascii="Times New Roman" w:hAnsi="Times New Roman"/>
          <w:sz w:val="20"/>
          <w:szCs w:val="20"/>
        </w:rPr>
        <w:t>: RAN2/RAN3 signaling for CLI for IAB is sufficient for cross layer interference mitigation/management.</w:t>
      </w:r>
    </w:p>
    <w:p w14:paraId="1A546ABC" w14:textId="042D04B1" w:rsidR="00816B96" w:rsidRPr="0009274C" w:rsidRDefault="00816B96" w:rsidP="00816B9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09274C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F07D5C" w:rsidRPr="0009274C">
        <w:rPr>
          <w:rFonts w:ascii="Times New Roman" w:hAnsi="Times New Roman"/>
          <w:b/>
          <w:bCs/>
          <w:sz w:val="20"/>
          <w:szCs w:val="20"/>
        </w:rPr>
        <w:t>5</w:t>
      </w:r>
      <w:r w:rsidRPr="0009274C">
        <w:rPr>
          <w:rFonts w:ascii="Times New Roman" w:hAnsi="Times New Roman"/>
          <w:sz w:val="20"/>
          <w:szCs w:val="20"/>
        </w:rPr>
        <w:t xml:space="preserve">: RAN4 concluded in Rel-16 not to define RRM </w:t>
      </w:r>
      <w:r w:rsidR="001A7FAB" w:rsidRPr="0009274C">
        <w:rPr>
          <w:rFonts w:ascii="Times New Roman" w:hAnsi="Times New Roman"/>
          <w:sz w:val="20"/>
          <w:szCs w:val="20"/>
        </w:rPr>
        <w:t xml:space="preserve">measurement </w:t>
      </w:r>
      <w:r w:rsidRPr="0009274C">
        <w:rPr>
          <w:rFonts w:ascii="Times New Roman" w:hAnsi="Times New Roman"/>
          <w:sz w:val="20"/>
          <w:szCs w:val="20"/>
        </w:rPr>
        <w:t xml:space="preserve">requirements for IAB-MT </w:t>
      </w:r>
      <w:r w:rsidR="00C0688B" w:rsidRPr="0009274C">
        <w:rPr>
          <w:rFonts w:ascii="Times New Roman" w:hAnsi="Times New Roman"/>
          <w:sz w:val="20"/>
          <w:szCs w:val="20"/>
        </w:rPr>
        <w:t xml:space="preserve">to prevent any </w:t>
      </w:r>
      <w:r w:rsidRPr="0009274C">
        <w:rPr>
          <w:rFonts w:ascii="Times New Roman" w:hAnsi="Times New Roman"/>
          <w:sz w:val="20"/>
          <w:szCs w:val="20"/>
        </w:rPr>
        <w:t>implementation</w:t>
      </w:r>
      <w:r w:rsidR="001A7FAB" w:rsidRPr="0009274C">
        <w:rPr>
          <w:rFonts w:ascii="Times New Roman" w:hAnsi="Times New Roman"/>
          <w:sz w:val="20"/>
          <w:szCs w:val="20"/>
        </w:rPr>
        <w:t xml:space="preserve"> </w:t>
      </w:r>
      <w:r w:rsidR="00C0688B" w:rsidRPr="0009274C">
        <w:rPr>
          <w:rFonts w:ascii="Times New Roman" w:hAnsi="Times New Roman"/>
          <w:sz w:val="20"/>
          <w:szCs w:val="20"/>
        </w:rPr>
        <w:t>limitation</w:t>
      </w:r>
      <w:r w:rsidR="00D733A4" w:rsidRPr="0009274C">
        <w:rPr>
          <w:rFonts w:ascii="Times New Roman" w:hAnsi="Times New Roman"/>
          <w:sz w:val="20"/>
          <w:szCs w:val="20"/>
        </w:rPr>
        <w:t xml:space="preserve"> in IAB</w:t>
      </w:r>
      <w:r w:rsidRPr="0009274C">
        <w:rPr>
          <w:rFonts w:ascii="Times New Roman" w:hAnsi="Times New Roman"/>
          <w:sz w:val="20"/>
          <w:szCs w:val="20"/>
        </w:rPr>
        <w:t>.</w:t>
      </w:r>
    </w:p>
    <w:p w14:paraId="38A8F316" w14:textId="36FF1102" w:rsidR="008306B4" w:rsidRDefault="00171316" w:rsidP="00E87A28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09274C">
        <w:rPr>
          <w:rFonts w:ascii="Times New Roman" w:hAnsi="Times New Roman"/>
          <w:b/>
          <w:bCs/>
          <w:sz w:val="20"/>
          <w:szCs w:val="20"/>
        </w:rPr>
        <w:t>Proposal #</w:t>
      </w:r>
      <w:r w:rsidR="00D733A4" w:rsidRPr="0009274C">
        <w:rPr>
          <w:rFonts w:ascii="Times New Roman" w:hAnsi="Times New Roman"/>
          <w:b/>
          <w:bCs/>
          <w:sz w:val="20"/>
          <w:szCs w:val="20"/>
        </w:rPr>
        <w:t>1</w:t>
      </w:r>
      <w:r w:rsidRPr="0009274C">
        <w:rPr>
          <w:rFonts w:ascii="Times New Roman" w:hAnsi="Times New Roman"/>
          <w:sz w:val="20"/>
          <w:szCs w:val="20"/>
        </w:rPr>
        <w:t xml:space="preserve">: </w:t>
      </w:r>
      <w:r w:rsidR="00436697" w:rsidRPr="0009274C">
        <w:rPr>
          <w:rFonts w:ascii="Times New Roman" w:hAnsi="Times New Roman"/>
          <w:sz w:val="20"/>
          <w:szCs w:val="20"/>
        </w:rPr>
        <w:t xml:space="preserve">No </w:t>
      </w:r>
      <w:r w:rsidR="00D733A4" w:rsidRPr="0009274C">
        <w:rPr>
          <w:rFonts w:ascii="Times New Roman" w:hAnsi="Times New Roman"/>
          <w:sz w:val="20"/>
          <w:szCs w:val="20"/>
        </w:rPr>
        <w:t xml:space="preserve">RRM </w:t>
      </w:r>
      <w:r w:rsidR="00F15E46" w:rsidRPr="0009274C">
        <w:rPr>
          <w:rFonts w:ascii="Times New Roman" w:hAnsi="Times New Roman"/>
          <w:sz w:val="20"/>
          <w:szCs w:val="20"/>
        </w:rPr>
        <w:t xml:space="preserve">requirements </w:t>
      </w:r>
      <w:r w:rsidR="00D733A4" w:rsidRPr="0009274C">
        <w:rPr>
          <w:rFonts w:ascii="Times New Roman" w:hAnsi="Times New Roman"/>
          <w:sz w:val="20"/>
          <w:szCs w:val="20"/>
        </w:rPr>
        <w:t xml:space="preserve">related to CLI measurements are </w:t>
      </w:r>
      <w:r w:rsidR="00F15E46" w:rsidRPr="0009274C">
        <w:rPr>
          <w:rFonts w:ascii="Times New Roman" w:hAnsi="Times New Roman"/>
          <w:sz w:val="20"/>
          <w:szCs w:val="20"/>
        </w:rPr>
        <w:t>specified</w:t>
      </w:r>
      <w:r w:rsidR="00D733A4" w:rsidRPr="0009274C">
        <w:rPr>
          <w:rFonts w:ascii="Times New Roman" w:hAnsi="Times New Roman"/>
          <w:sz w:val="20"/>
          <w:szCs w:val="20"/>
        </w:rPr>
        <w:t xml:space="preserve"> for IAB-MT</w:t>
      </w:r>
      <w:r w:rsidRPr="0009274C">
        <w:rPr>
          <w:rFonts w:ascii="Times New Roman" w:hAnsi="Times New Roman"/>
          <w:sz w:val="20"/>
          <w:szCs w:val="20"/>
        </w:rPr>
        <w:t xml:space="preserve">. </w:t>
      </w:r>
    </w:p>
    <w:p w14:paraId="723C3AB0" w14:textId="57440A8F" w:rsidR="00891962" w:rsidRDefault="00891962" w:rsidP="00891962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sz w:val="20"/>
          <w:szCs w:val="20"/>
          <w:u w:val="single"/>
          <w:lang w:val="en-US"/>
        </w:rPr>
      </w:pPr>
      <w:r w:rsidRPr="00891962">
        <w:rPr>
          <w:b/>
          <w:bCs/>
          <w:sz w:val="20"/>
          <w:szCs w:val="20"/>
          <w:u w:val="single"/>
          <w:lang w:val="en-US"/>
        </w:rPr>
        <w:t>Case-6 Timing for IAB-MT:</w:t>
      </w:r>
    </w:p>
    <w:p w14:paraId="6855E78A" w14:textId="222DA026" w:rsidR="00891962" w:rsidRDefault="00891962" w:rsidP="0089196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09274C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</w:rPr>
        <w:t>6</w:t>
      </w:r>
      <w:r w:rsidRPr="0009274C">
        <w:rPr>
          <w:rFonts w:ascii="Times New Roman" w:hAnsi="Times New Roman"/>
          <w:sz w:val="20"/>
          <w:szCs w:val="20"/>
        </w:rPr>
        <w:t xml:space="preserve">: </w:t>
      </w:r>
      <w:r w:rsidRPr="00891962">
        <w:rPr>
          <w:rFonts w:ascii="Times New Roman" w:hAnsi="Times New Roman"/>
          <w:sz w:val="20"/>
          <w:szCs w:val="20"/>
        </w:rPr>
        <w:t>TAE between IAB-MT and its co-located IAB-DU and the IAB-DU</w:t>
      </w:r>
      <w:r w:rsidR="005E542E">
        <w:rPr>
          <w:rFonts w:ascii="Times New Roman" w:hAnsi="Times New Roman"/>
          <w:sz w:val="20"/>
          <w:szCs w:val="20"/>
        </w:rPr>
        <w:t xml:space="preserve">’s </w:t>
      </w:r>
      <w:r w:rsidRPr="00891962">
        <w:rPr>
          <w:rFonts w:ascii="Times New Roman" w:hAnsi="Times New Roman"/>
          <w:sz w:val="20"/>
          <w:szCs w:val="20"/>
        </w:rPr>
        <w:t xml:space="preserve">3 µs cell phase </w:t>
      </w:r>
      <w:r w:rsidR="005E542E">
        <w:rPr>
          <w:rFonts w:ascii="Times New Roman" w:hAnsi="Times New Roman"/>
          <w:sz w:val="20"/>
          <w:szCs w:val="20"/>
        </w:rPr>
        <w:t xml:space="preserve">synchronization </w:t>
      </w:r>
      <w:r w:rsidRPr="00891962">
        <w:rPr>
          <w:rFonts w:ascii="Times New Roman" w:hAnsi="Times New Roman"/>
          <w:sz w:val="20"/>
          <w:szCs w:val="20"/>
        </w:rPr>
        <w:t>will result in that the IAB-MT timing become 3 µs + TAE</w:t>
      </w:r>
      <w:r w:rsidRPr="0009274C">
        <w:rPr>
          <w:rFonts w:ascii="Times New Roman" w:hAnsi="Times New Roman"/>
          <w:sz w:val="20"/>
          <w:szCs w:val="20"/>
        </w:rPr>
        <w:t>.</w:t>
      </w:r>
    </w:p>
    <w:p w14:paraId="4B659EE8" w14:textId="562D883B" w:rsidR="00B845D0" w:rsidRPr="00891962" w:rsidRDefault="00B845D0" w:rsidP="0089196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09274C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</w:rPr>
        <w:t>7</w:t>
      </w:r>
      <w:r w:rsidRPr="0009274C">
        <w:rPr>
          <w:rFonts w:ascii="Times New Roman" w:hAnsi="Times New Roman"/>
          <w:sz w:val="20"/>
          <w:szCs w:val="20"/>
        </w:rPr>
        <w:t xml:space="preserve">: </w:t>
      </w:r>
      <w:r w:rsidRPr="00B845D0">
        <w:rPr>
          <w:rFonts w:ascii="Times New Roman" w:hAnsi="Times New Roman"/>
          <w:sz w:val="20"/>
          <w:szCs w:val="20"/>
        </w:rPr>
        <w:t>IAB-MT and IAB-DU operate in different cells and if IAB-MT does not follow the cell phase synchronization requirement then there can be interference between the two cells</w:t>
      </w:r>
      <w:r w:rsidR="001F5CB8">
        <w:rPr>
          <w:rFonts w:ascii="Times New Roman" w:hAnsi="Times New Roman"/>
          <w:sz w:val="20"/>
          <w:szCs w:val="20"/>
        </w:rPr>
        <w:t>.</w:t>
      </w:r>
    </w:p>
    <w:p w14:paraId="484612A9" w14:textId="09BE8400" w:rsidR="002564F7" w:rsidRPr="00975165" w:rsidRDefault="002564F7" w:rsidP="002564F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09274C">
        <w:rPr>
          <w:rFonts w:ascii="Times New Roman" w:hAnsi="Times New Roman"/>
          <w:b/>
          <w:bCs/>
          <w:sz w:val="20"/>
          <w:szCs w:val="20"/>
          <w:lang w:val="en-GB" w:eastAsia="en-US"/>
        </w:rPr>
        <w:t>Proposal#2</w:t>
      </w:r>
      <w:r w:rsidRPr="0009274C">
        <w:rPr>
          <w:rFonts w:ascii="Times New Roman" w:hAnsi="Times New Roman"/>
          <w:sz w:val="20"/>
          <w:szCs w:val="20"/>
          <w:lang w:val="en-GB" w:eastAsia="en-US"/>
        </w:rPr>
        <w:t>: IAB-MT should follow the cell phase sync</w:t>
      </w:r>
      <w:r w:rsidR="001F5CB8">
        <w:rPr>
          <w:rFonts w:ascii="Times New Roman" w:hAnsi="Times New Roman"/>
          <w:sz w:val="20"/>
          <w:szCs w:val="20"/>
          <w:lang w:val="en-GB" w:eastAsia="en-US"/>
        </w:rPr>
        <w:t>hronization</w:t>
      </w:r>
      <w:r w:rsidRPr="0009274C">
        <w:rPr>
          <w:rFonts w:ascii="Times New Roman" w:hAnsi="Times New Roman"/>
          <w:sz w:val="20"/>
          <w:szCs w:val="20"/>
          <w:lang w:val="en-GB" w:eastAsia="en-US"/>
        </w:rPr>
        <w:t xml:space="preserve"> req</w:t>
      </w:r>
      <w:r w:rsidR="001F5CB8">
        <w:rPr>
          <w:rFonts w:ascii="Times New Roman" w:hAnsi="Times New Roman"/>
          <w:sz w:val="20"/>
          <w:szCs w:val="20"/>
          <w:lang w:val="en-GB" w:eastAsia="en-US"/>
        </w:rPr>
        <w:t>u</w:t>
      </w:r>
      <w:r w:rsidRPr="0009274C">
        <w:rPr>
          <w:rFonts w:ascii="Times New Roman" w:hAnsi="Times New Roman"/>
          <w:sz w:val="20"/>
          <w:szCs w:val="20"/>
          <w:lang w:val="en-GB" w:eastAsia="en-US"/>
        </w:rPr>
        <w:t>ir</w:t>
      </w:r>
      <w:r w:rsidR="001F5CB8">
        <w:rPr>
          <w:rFonts w:ascii="Times New Roman" w:hAnsi="Times New Roman"/>
          <w:sz w:val="20"/>
          <w:szCs w:val="20"/>
          <w:lang w:val="en-GB" w:eastAsia="en-US"/>
        </w:rPr>
        <w:t>e</w:t>
      </w:r>
      <w:r w:rsidRPr="0009274C">
        <w:rPr>
          <w:rFonts w:ascii="Times New Roman" w:hAnsi="Times New Roman"/>
          <w:sz w:val="20"/>
          <w:szCs w:val="20"/>
          <w:lang w:val="en-GB" w:eastAsia="en-US"/>
        </w:rPr>
        <w:t xml:space="preserve">ment </w:t>
      </w:r>
      <w:r w:rsidR="00975165">
        <w:rPr>
          <w:rFonts w:ascii="Times New Roman" w:hAnsi="Times New Roman"/>
          <w:sz w:val="20"/>
          <w:szCs w:val="20"/>
          <w:lang w:val="en-GB" w:eastAsia="en-US"/>
        </w:rPr>
        <w:t xml:space="preserve">of 3 µs </w:t>
      </w:r>
      <w:r w:rsidRPr="0009274C">
        <w:rPr>
          <w:rFonts w:ascii="Times New Roman" w:hAnsi="Times New Roman"/>
          <w:sz w:val="20"/>
          <w:szCs w:val="20"/>
          <w:lang w:val="en-GB" w:eastAsia="en-US"/>
        </w:rPr>
        <w:t>when it transmit</w:t>
      </w:r>
      <w:r w:rsidR="007B0B45">
        <w:rPr>
          <w:rFonts w:ascii="Times New Roman" w:hAnsi="Times New Roman"/>
          <w:sz w:val="20"/>
          <w:szCs w:val="20"/>
          <w:lang w:val="en-GB" w:eastAsia="en-US"/>
        </w:rPr>
        <w:t>s</w:t>
      </w:r>
      <w:r w:rsidRPr="0009274C">
        <w:rPr>
          <w:rFonts w:ascii="Times New Roman" w:hAnsi="Times New Roman"/>
          <w:sz w:val="20"/>
          <w:szCs w:val="20"/>
          <w:lang w:val="en-GB" w:eastAsia="en-US"/>
        </w:rPr>
        <w:t xml:space="preserve"> in DL time slot.</w:t>
      </w:r>
    </w:p>
    <w:p w14:paraId="61CC7DAA" w14:textId="352D82A4" w:rsidR="00975165" w:rsidRPr="00975165" w:rsidRDefault="00975165" w:rsidP="00975165">
      <w:pPr>
        <w:pStyle w:val="ListParagraph"/>
        <w:overflowPunct w:val="0"/>
        <w:autoSpaceDE w:val="0"/>
        <w:autoSpaceDN w:val="0"/>
        <w:adjustRightInd w:val="0"/>
        <w:spacing w:before="120"/>
        <w:ind w:left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975165">
        <w:rPr>
          <w:rFonts w:ascii="Times New Roman" w:hAnsi="Times New Roman"/>
          <w:sz w:val="20"/>
          <w:szCs w:val="20"/>
          <w:lang w:val="en-GB" w:eastAsia="en-US"/>
        </w:rPr>
        <w:t xml:space="preserve">A CR </w:t>
      </w:r>
      <w:r>
        <w:rPr>
          <w:rFonts w:ascii="Times New Roman" w:hAnsi="Times New Roman"/>
          <w:sz w:val="20"/>
          <w:szCs w:val="20"/>
          <w:lang w:val="en-GB" w:eastAsia="en-US"/>
        </w:rPr>
        <w:t xml:space="preserve">is provided to define </w:t>
      </w:r>
      <w:r w:rsidRPr="0009274C">
        <w:rPr>
          <w:rFonts w:ascii="Times New Roman" w:hAnsi="Times New Roman"/>
          <w:sz w:val="20"/>
          <w:szCs w:val="20"/>
          <w:lang w:val="en-GB" w:eastAsia="en-US"/>
        </w:rPr>
        <w:t>cell phase sync</w:t>
      </w:r>
      <w:r>
        <w:rPr>
          <w:rFonts w:ascii="Times New Roman" w:hAnsi="Times New Roman"/>
          <w:sz w:val="20"/>
          <w:szCs w:val="20"/>
          <w:lang w:val="en-GB" w:eastAsia="en-US"/>
        </w:rPr>
        <w:t>hronization</w:t>
      </w:r>
      <w:r w:rsidRPr="0009274C">
        <w:rPr>
          <w:rFonts w:ascii="Times New Roman" w:hAnsi="Times New Roman"/>
          <w:sz w:val="20"/>
          <w:szCs w:val="20"/>
          <w:lang w:val="en-GB" w:eastAsia="en-US"/>
        </w:rPr>
        <w:t xml:space="preserve"> req</w:t>
      </w:r>
      <w:r>
        <w:rPr>
          <w:rFonts w:ascii="Times New Roman" w:hAnsi="Times New Roman"/>
          <w:sz w:val="20"/>
          <w:szCs w:val="20"/>
          <w:lang w:val="en-GB" w:eastAsia="en-US"/>
        </w:rPr>
        <w:t>u</w:t>
      </w:r>
      <w:r w:rsidRPr="0009274C">
        <w:rPr>
          <w:rFonts w:ascii="Times New Roman" w:hAnsi="Times New Roman"/>
          <w:sz w:val="20"/>
          <w:szCs w:val="20"/>
          <w:lang w:val="en-GB" w:eastAsia="en-US"/>
        </w:rPr>
        <w:t>ir</w:t>
      </w:r>
      <w:r>
        <w:rPr>
          <w:rFonts w:ascii="Times New Roman" w:hAnsi="Times New Roman"/>
          <w:sz w:val="20"/>
          <w:szCs w:val="20"/>
          <w:lang w:val="en-GB" w:eastAsia="en-US"/>
        </w:rPr>
        <w:t>e</w:t>
      </w:r>
      <w:r w:rsidRPr="0009274C">
        <w:rPr>
          <w:rFonts w:ascii="Times New Roman" w:hAnsi="Times New Roman"/>
          <w:sz w:val="20"/>
          <w:szCs w:val="20"/>
          <w:lang w:val="en-GB" w:eastAsia="en-US"/>
        </w:rPr>
        <w:t xml:space="preserve">ment </w:t>
      </w:r>
      <w:r>
        <w:rPr>
          <w:rFonts w:ascii="Times New Roman" w:hAnsi="Times New Roman"/>
          <w:sz w:val="20"/>
          <w:szCs w:val="20"/>
          <w:lang w:val="en-GB" w:eastAsia="en-US"/>
        </w:rPr>
        <w:t>for IAB-MT in [2].</w:t>
      </w:r>
    </w:p>
    <w:p w14:paraId="4F407A74" w14:textId="0EA81A66" w:rsidR="00C8565F" w:rsidRPr="0064384A" w:rsidRDefault="00C8565F" w:rsidP="00C8565F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</w:p>
    <w:p w14:paraId="6CDB067D" w14:textId="4D144A74" w:rsidR="00EB2DE7" w:rsidRDefault="00666678" w:rsidP="00F62C01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666678">
        <w:rPr>
          <w:rFonts w:ascii="Times New Roman" w:hAnsi="Times New Roman"/>
          <w:sz w:val="18"/>
          <w:szCs w:val="18"/>
          <w:lang w:val="en-GB"/>
        </w:rPr>
        <w:t>R4-2</w:t>
      </w:r>
      <w:r w:rsidR="00F53F9F">
        <w:rPr>
          <w:rFonts w:ascii="Times New Roman" w:hAnsi="Times New Roman"/>
          <w:sz w:val="18"/>
          <w:szCs w:val="18"/>
          <w:lang w:val="en-GB"/>
        </w:rPr>
        <w:t>20266</w:t>
      </w:r>
      <w:r w:rsidR="004D6E00">
        <w:rPr>
          <w:rFonts w:ascii="Times New Roman" w:hAnsi="Times New Roman"/>
          <w:sz w:val="18"/>
          <w:szCs w:val="18"/>
          <w:lang w:val="en-GB"/>
        </w:rPr>
        <w:t>4</w:t>
      </w:r>
      <w:r w:rsidR="007C7F17" w:rsidRPr="007C7F17">
        <w:rPr>
          <w:rFonts w:ascii="Times New Roman" w:hAnsi="Times New Roman"/>
          <w:sz w:val="18"/>
          <w:szCs w:val="18"/>
        </w:rPr>
        <w:t xml:space="preserve">, </w:t>
      </w:r>
      <w:r w:rsidR="00590FF2" w:rsidRPr="00590FF2">
        <w:rPr>
          <w:rFonts w:ascii="Times New Roman" w:hAnsi="Times New Roman"/>
          <w:sz w:val="18"/>
          <w:szCs w:val="18"/>
          <w:lang w:val="en-GB"/>
        </w:rPr>
        <w:t xml:space="preserve">WF on </w:t>
      </w:r>
      <w:r w:rsidR="00445B0A" w:rsidRPr="00445B0A">
        <w:rPr>
          <w:rFonts w:ascii="Times New Roman" w:hAnsi="Times New Roman"/>
          <w:sz w:val="18"/>
          <w:szCs w:val="18"/>
          <w:lang w:val="en-GB"/>
        </w:rPr>
        <w:t>RRM aspects of IAB enhancement</w:t>
      </w:r>
      <w:r w:rsidR="007C7F17">
        <w:rPr>
          <w:rFonts w:ascii="Times New Roman" w:hAnsi="Times New Roman"/>
          <w:sz w:val="18"/>
          <w:szCs w:val="18"/>
        </w:rPr>
        <w:t>,</w:t>
      </w:r>
      <w:r w:rsidR="00590FF2">
        <w:rPr>
          <w:rFonts w:ascii="Times New Roman" w:hAnsi="Times New Roman"/>
          <w:sz w:val="18"/>
          <w:szCs w:val="18"/>
        </w:rPr>
        <w:t xml:space="preserve"> ZTE</w:t>
      </w:r>
      <w:r w:rsidR="00DE6850">
        <w:rPr>
          <w:rFonts w:ascii="Times New Roman" w:hAnsi="Times New Roman"/>
          <w:sz w:val="18"/>
          <w:szCs w:val="18"/>
        </w:rPr>
        <w:t>.</w:t>
      </w:r>
      <w:bookmarkEnd w:id="1"/>
      <w:bookmarkEnd w:id="2"/>
    </w:p>
    <w:p w14:paraId="1E791CB5" w14:textId="6696FD0C" w:rsidR="00975165" w:rsidRPr="00F62C01" w:rsidRDefault="00975165" w:rsidP="00F62C01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666678">
        <w:rPr>
          <w:rFonts w:ascii="Times New Roman" w:hAnsi="Times New Roman"/>
          <w:sz w:val="18"/>
          <w:szCs w:val="18"/>
          <w:lang w:val="en-GB"/>
        </w:rPr>
        <w:t>R4-2</w:t>
      </w:r>
      <w:r>
        <w:rPr>
          <w:rFonts w:ascii="Times New Roman" w:hAnsi="Times New Roman"/>
          <w:sz w:val="18"/>
          <w:szCs w:val="18"/>
          <w:lang w:val="en-GB"/>
        </w:rPr>
        <w:t>20</w:t>
      </w:r>
      <w:r w:rsidR="00914CD5">
        <w:rPr>
          <w:rFonts w:ascii="Times New Roman" w:hAnsi="Times New Roman"/>
          <w:sz w:val="18"/>
          <w:szCs w:val="18"/>
          <w:lang w:val="en-GB"/>
        </w:rPr>
        <w:t>60</w:t>
      </w:r>
      <w:r w:rsidR="00B46FC2">
        <w:rPr>
          <w:rFonts w:ascii="Times New Roman" w:hAnsi="Times New Roman"/>
          <w:sz w:val="18"/>
          <w:szCs w:val="18"/>
          <w:lang w:val="en-GB"/>
        </w:rPr>
        <w:t>30</w:t>
      </w:r>
      <w:r w:rsidRPr="007C7F17">
        <w:rPr>
          <w:rFonts w:ascii="Times New Roman" w:hAnsi="Times New Roman"/>
          <w:sz w:val="18"/>
          <w:szCs w:val="18"/>
        </w:rPr>
        <w:t xml:space="preserve">, </w:t>
      </w:r>
      <w:r w:rsidRPr="00975165">
        <w:rPr>
          <w:rFonts w:ascii="Times New Roman" w:hAnsi="Times New Roman"/>
          <w:sz w:val="18"/>
          <w:szCs w:val="18"/>
        </w:rPr>
        <w:t>Case 6 timing requirement for IAB in TS 38.174</w:t>
      </w:r>
      <w:r>
        <w:rPr>
          <w:rFonts w:ascii="Times New Roman" w:hAnsi="Times New Roman"/>
          <w:sz w:val="18"/>
          <w:szCs w:val="18"/>
        </w:rPr>
        <w:t xml:space="preserve">, </w:t>
      </w:r>
      <w:r w:rsidRPr="00975165">
        <w:rPr>
          <w:rFonts w:ascii="Times New Roman" w:hAnsi="Times New Roman"/>
          <w:sz w:val="18"/>
          <w:szCs w:val="18"/>
        </w:rPr>
        <w:t>Ericsson</w:t>
      </w:r>
    </w:p>
    <w:sectPr w:rsidR="00975165" w:rsidRPr="00F62C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B12AB" w14:textId="77777777" w:rsidR="00B70559" w:rsidRDefault="00B70559">
      <w:r>
        <w:separator/>
      </w:r>
    </w:p>
  </w:endnote>
  <w:endnote w:type="continuationSeparator" w:id="0">
    <w:p w14:paraId="7C9544B1" w14:textId="77777777" w:rsidR="00B70559" w:rsidRDefault="00B7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46B5F" w14:textId="77777777" w:rsidR="00B70559" w:rsidRDefault="00B70559">
      <w:r>
        <w:separator/>
      </w:r>
    </w:p>
  </w:footnote>
  <w:footnote w:type="continuationSeparator" w:id="0">
    <w:p w14:paraId="33FD3792" w14:textId="77777777" w:rsidR="00B70559" w:rsidRDefault="00B7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40B"/>
    <w:multiLevelType w:val="hybridMultilevel"/>
    <w:tmpl w:val="57189C6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5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E5548B"/>
    <w:multiLevelType w:val="multilevel"/>
    <w:tmpl w:val="5030D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A52742"/>
    <w:multiLevelType w:val="multilevel"/>
    <w:tmpl w:val="96CED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2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9" w15:restartNumberingAfterBreak="0">
    <w:nsid w:val="35605F5F"/>
    <w:multiLevelType w:val="hybridMultilevel"/>
    <w:tmpl w:val="36FE1A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C57EA3"/>
    <w:multiLevelType w:val="hybridMultilevel"/>
    <w:tmpl w:val="2E0AB34C"/>
    <w:lvl w:ilvl="0" w:tplc="1ABAAE1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16231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AE2B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5D26D2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0A55A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F4594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72C0D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A0FA6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EE116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884327F"/>
    <w:multiLevelType w:val="multilevel"/>
    <w:tmpl w:val="0436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7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AA1F02"/>
    <w:multiLevelType w:val="hybridMultilevel"/>
    <w:tmpl w:val="A34ACA4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5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6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8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0414CE9"/>
    <w:multiLevelType w:val="hybridMultilevel"/>
    <w:tmpl w:val="A8BA9092"/>
    <w:lvl w:ilvl="0" w:tplc="5B88CE8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26B27"/>
    <w:multiLevelType w:val="multilevel"/>
    <w:tmpl w:val="8CD437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8"/>
  </w:num>
  <w:num w:numId="3">
    <w:abstractNumId w:val="46"/>
  </w:num>
  <w:num w:numId="4">
    <w:abstractNumId w:val="3"/>
  </w:num>
  <w:num w:numId="5">
    <w:abstractNumId w:val="21"/>
  </w:num>
  <w:num w:numId="6">
    <w:abstractNumId w:val="45"/>
  </w:num>
  <w:num w:numId="7">
    <w:abstractNumId w:val="37"/>
  </w:num>
  <w:num w:numId="8">
    <w:abstractNumId w:val="33"/>
  </w:num>
  <w:num w:numId="9">
    <w:abstractNumId w:val="7"/>
  </w:num>
  <w:num w:numId="10">
    <w:abstractNumId w:val="18"/>
  </w:num>
  <w:num w:numId="11">
    <w:abstractNumId w:val="11"/>
  </w:num>
  <w:num w:numId="12">
    <w:abstractNumId w:val="14"/>
  </w:num>
  <w:num w:numId="13">
    <w:abstractNumId w:val="15"/>
  </w:num>
  <w:num w:numId="14">
    <w:abstractNumId w:val="5"/>
  </w:num>
  <w:num w:numId="15">
    <w:abstractNumId w:val="4"/>
  </w:num>
  <w:num w:numId="16">
    <w:abstractNumId w:val="35"/>
  </w:num>
  <w:num w:numId="17">
    <w:abstractNumId w:val="13"/>
  </w:num>
  <w:num w:numId="18">
    <w:abstractNumId w:val="44"/>
  </w:num>
  <w:num w:numId="19">
    <w:abstractNumId w:val="28"/>
  </w:num>
  <w:num w:numId="20">
    <w:abstractNumId w:val="26"/>
  </w:num>
  <w:num w:numId="21">
    <w:abstractNumId w:val="24"/>
  </w:num>
  <w:num w:numId="22">
    <w:abstractNumId w:val="30"/>
  </w:num>
  <w:num w:numId="23">
    <w:abstractNumId w:val="17"/>
  </w:num>
  <w:num w:numId="24">
    <w:abstractNumId w:val="39"/>
  </w:num>
  <w:num w:numId="25">
    <w:abstractNumId w:val="12"/>
  </w:num>
  <w:num w:numId="26">
    <w:abstractNumId w:val="34"/>
  </w:num>
  <w:num w:numId="27">
    <w:abstractNumId w:val="0"/>
  </w:num>
  <w:num w:numId="28">
    <w:abstractNumId w:val="40"/>
  </w:num>
  <w:num w:numId="29">
    <w:abstractNumId w:val="20"/>
  </w:num>
  <w:num w:numId="30">
    <w:abstractNumId w:val="22"/>
  </w:num>
  <w:num w:numId="31">
    <w:abstractNumId w:val="36"/>
  </w:num>
  <w:num w:numId="32">
    <w:abstractNumId w:val="27"/>
  </w:num>
  <w:num w:numId="33">
    <w:abstractNumId w:val="6"/>
  </w:num>
  <w:num w:numId="34">
    <w:abstractNumId w:val="1"/>
  </w:num>
  <w:num w:numId="35">
    <w:abstractNumId w:val="16"/>
  </w:num>
  <w:num w:numId="36">
    <w:abstractNumId w:val="38"/>
  </w:num>
  <w:num w:numId="37">
    <w:abstractNumId w:val="42"/>
  </w:num>
  <w:num w:numId="38">
    <w:abstractNumId w:val="9"/>
  </w:num>
  <w:num w:numId="39">
    <w:abstractNumId w:val="23"/>
  </w:num>
  <w:num w:numId="40">
    <w:abstractNumId w:val="25"/>
  </w:num>
  <w:num w:numId="41">
    <w:abstractNumId w:val="10"/>
  </w:num>
  <w:num w:numId="42">
    <w:abstractNumId w:val="31"/>
  </w:num>
  <w:num w:numId="43">
    <w:abstractNumId w:val="19"/>
  </w:num>
  <w:num w:numId="44">
    <w:abstractNumId w:val="29"/>
  </w:num>
  <w:num w:numId="45">
    <w:abstractNumId w:val="2"/>
  </w:num>
  <w:num w:numId="46">
    <w:abstractNumId w:val="32"/>
  </w:num>
  <w:num w:numId="47">
    <w:abstractNumId w:val="4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A39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911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2EA"/>
    <w:rsid w:val="00232834"/>
    <w:rsid w:val="00232C37"/>
    <w:rsid w:val="00233DC7"/>
    <w:rsid w:val="002356C8"/>
    <w:rsid w:val="00235D6D"/>
    <w:rsid w:val="002364B5"/>
    <w:rsid w:val="00236799"/>
    <w:rsid w:val="002376D0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75B"/>
    <w:rsid w:val="00247AAB"/>
    <w:rsid w:val="00247D08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64B5"/>
    <w:rsid w:val="003466AD"/>
    <w:rsid w:val="00347054"/>
    <w:rsid w:val="00347873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997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5B0A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1F50"/>
    <w:rsid w:val="005620D7"/>
    <w:rsid w:val="00562843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29D3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7A"/>
    <w:rsid w:val="007F20F6"/>
    <w:rsid w:val="007F2B0F"/>
    <w:rsid w:val="007F2F89"/>
    <w:rsid w:val="007F32B1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B2A"/>
    <w:rsid w:val="008B5EA8"/>
    <w:rsid w:val="008B607D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02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501B"/>
    <w:rsid w:val="00905803"/>
    <w:rsid w:val="009058E6"/>
    <w:rsid w:val="00906F20"/>
    <w:rsid w:val="009078C7"/>
    <w:rsid w:val="009114E1"/>
    <w:rsid w:val="00912803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3B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7FE"/>
    <w:rsid w:val="00C53D10"/>
    <w:rsid w:val="00C54C8A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724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1B6B"/>
    <w:rsid w:val="00F51B8F"/>
    <w:rsid w:val="00F52204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792E"/>
    <w:rsid w:val="00F80396"/>
    <w:rsid w:val="00F806BB"/>
    <w:rsid w:val="00F81E41"/>
    <w:rsid w:val="00F824CE"/>
    <w:rsid w:val="00F82513"/>
    <w:rsid w:val="00F827A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5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9b239327-9e80-40e4-b1b7-4394fed77a33"/>
    <ds:schemaRef ds:uri="http://schemas.openxmlformats.org/package/2006/metadata/core-properties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3</Pages>
  <Words>846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20</cp:revision>
  <cp:lastPrinted>1899-12-31T23:00:00Z</cp:lastPrinted>
  <dcterms:created xsi:type="dcterms:W3CDTF">2022-02-14T19:00:00Z</dcterms:created>
  <dcterms:modified xsi:type="dcterms:W3CDTF">2022-02-14T21:22:00Z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